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FDE" w:rsidRPr="002C4FDE" w:rsidRDefault="002C4FDE" w:rsidP="002C4FDE">
      <w:pPr>
        <w:pStyle w:val="CenteredCaption"/>
        <w:spacing w:after="0"/>
        <w:rPr>
          <w:sz w:val="24"/>
        </w:rPr>
      </w:pPr>
      <w:r w:rsidRPr="002C4FDE">
        <w:rPr>
          <w:sz w:val="24"/>
        </w:rPr>
        <w:t xml:space="preserve">American Bar Association </w:t>
      </w:r>
    </w:p>
    <w:p w:rsidR="002C4FDE" w:rsidRPr="002C4FDE" w:rsidRDefault="002C4FDE" w:rsidP="007D3924">
      <w:pPr>
        <w:pStyle w:val="CenteredCaption"/>
        <w:spacing w:after="0"/>
        <w:rPr>
          <w:sz w:val="24"/>
        </w:rPr>
      </w:pPr>
      <w:r w:rsidRPr="002C4FDE">
        <w:rPr>
          <w:sz w:val="24"/>
        </w:rPr>
        <w:t xml:space="preserve">Section of Environment, Energy, and Resources </w:t>
      </w:r>
    </w:p>
    <w:p w:rsidR="002C4FDE" w:rsidRDefault="002C4FDE" w:rsidP="007D3924"/>
    <w:p w:rsidR="00EC28EA" w:rsidRPr="002C4FDE" w:rsidRDefault="002C4FDE" w:rsidP="007D3924">
      <w:pPr>
        <w:pStyle w:val="CenteredCaption"/>
        <w:spacing w:after="0"/>
        <w:rPr>
          <w:sz w:val="24"/>
        </w:rPr>
      </w:pPr>
      <w:bookmarkStart w:id="0" w:name="_GoBack"/>
      <w:r w:rsidRPr="002C4FDE">
        <w:rPr>
          <w:sz w:val="24"/>
        </w:rPr>
        <w:t>The Swinging Pendulum of Wildlife Conservation Policy</w:t>
      </w:r>
    </w:p>
    <w:bookmarkEnd w:id="0"/>
    <w:p w:rsidR="002C4FDE" w:rsidRPr="002C4FDE" w:rsidRDefault="002C4FDE" w:rsidP="002C4FDE"/>
    <w:p w:rsidR="002C4FDE" w:rsidRPr="002C4FDE" w:rsidRDefault="002C4FDE" w:rsidP="002C4FDE">
      <w:pPr>
        <w:jc w:val="center"/>
        <w:rPr>
          <w:b/>
        </w:rPr>
      </w:pPr>
      <w:r w:rsidRPr="002C4FDE">
        <w:rPr>
          <w:b/>
        </w:rPr>
        <w:t>Sandi Snodgrass</w:t>
      </w:r>
    </w:p>
    <w:p w:rsidR="002C4FDE" w:rsidRPr="002C4FDE" w:rsidRDefault="002C4FDE" w:rsidP="002C4FDE">
      <w:pPr>
        <w:jc w:val="center"/>
        <w:rPr>
          <w:b/>
        </w:rPr>
      </w:pPr>
      <w:r w:rsidRPr="002C4FDE">
        <w:rPr>
          <w:b/>
        </w:rPr>
        <w:t>Holland &amp; Hart LLP</w:t>
      </w:r>
    </w:p>
    <w:p w:rsidR="002C4FDE" w:rsidRPr="002C4FDE" w:rsidRDefault="002C4FDE" w:rsidP="002C4FDE">
      <w:pPr>
        <w:jc w:val="center"/>
        <w:rPr>
          <w:b/>
        </w:rPr>
      </w:pPr>
      <w:r w:rsidRPr="002C4FDE">
        <w:rPr>
          <w:b/>
        </w:rPr>
        <w:t>Denver, CO</w:t>
      </w:r>
    </w:p>
    <w:p w:rsidR="002C4FDE" w:rsidRPr="002C4FDE" w:rsidRDefault="002C4FDE" w:rsidP="002C4FDE">
      <w:pPr>
        <w:jc w:val="center"/>
        <w:rPr>
          <w:b/>
        </w:rPr>
      </w:pPr>
    </w:p>
    <w:p w:rsidR="002C4FDE" w:rsidRPr="002C4FDE" w:rsidRDefault="002C4FDE" w:rsidP="002C4FDE">
      <w:pPr>
        <w:jc w:val="center"/>
        <w:rPr>
          <w:b/>
        </w:rPr>
      </w:pPr>
      <w:r w:rsidRPr="002C4FDE">
        <w:rPr>
          <w:b/>
          <w:bCs/>
        </w:rPr>
        <w:t xml:space="preserve">26th </w:t>
      </w:r>
      <w:r>
        <w:rPr>
          <w:b/>
          <w:bCs/>
        </w:rPr>
        <w:t xml:space="preserve">Annual </w:t>
      </w:r>
      <w:r w:rsidRPr="002C4FDE">
        <w:rPr>
          <w:b/>
          <w:bCs/>
        </w:rPr>
        <w:t>Fall Conference</w:t>
      </w:r>
    </w:p>
    <w:p w:rsidR="002C4FDE" w:rsidRPr="002C4FDE" w:rsidRDefault="002C4FDE" w:rsidP="002C4FDE">
      <w:pPr>
        <w:jc w:val="center"/>
        <w:rPr>
          <w:b/>
        </w:rPr>
      </w:pPr>
      <w:r w:rsidRPr="002C4FDE">
        <w:rPr>
          <w:b/>
          <w:bCs/>
        </w:rPr>
        <w:t>San Diego, CA</w:t>
      </w:r>
    </w:p>
    <w:p w:rsidR="002C4FDE" w:rsidRPr="002C4FDE" w:rsidRDefault="002C4FDE" w:rsidP="002C4FDE">
      <w:pPr>
        <w:jc w:val="center"/>
        <w:rPr>
          <w:b/>
          <w:bCs/>
        </w:rPr>
      </w:pPr>
      <w:r w:rsidRPr="002C4FDE">
        <w:rPr>
          <w:b/>
          <w:bCs/>
        </w:rPr>
        <w:t>October 17-20, 2018</w:t>
      </w:r>
    </w:p>
    <w:p w:rsidR="002C4FDE" w:rsidRDefault="002C4FDE" w:rsidP="002C4FDE">
      <w:pPr>
        <w:jc w:val="center"/>
        <w:rPr>
          <w:bCs/>
          <w:sz w:val="22"/>
          <w:szCs w:val="22"/>
        </w:rPr>
      </w:pPr>
    </w:p>
    <w:p w:rsidR="002C4FDE" w:rsidRPr="002C4FDE" w:rsidRDefault="002C4FDE" w:rsidP="002C4FDE">
      <w:pPr>
        <w:jc w:val="center"/>
        <w:rPr>
          <w:sz w:val="22"/>
          <w:szCs w:val="22"/>
        </w:rPr>
      </w:pPr>
    </w:p>
    <w:p w:rsidR="002C4FDE" w:rsidRPr="002C4FDE" w:rsidRDefault="002C4FDE" w:rsidP="002C4FDE">
      <w:pPr>
        <w:jc w:val="center"/>
        <w:rPr>
          <w:b/>
        </w:rPr>
      </w:pPr>
      <w:r w:rsidRPr="002C4FDE">
        <w:rPr>
          <w:b/>
          <w:bCs/>
          <w:sz w:val="22"/>
          <w:szCs w:val="22"/>
        </w:rPr>
        <w:t>ABSTRACT</w:t>
      </w:r>
    </w:p>
    <w:p w:rsidR="002C4FDE" w:rsidRDefault="002C4FDE" w:rsidP="00B21625">
      <w:pPr>
        <w:pStyle w:val="BodyText"/>
      </w:pPr>
    </w:p>
    <w:p w:rsidR="004C3ECB" w:rsidRPr="004C3ECB" w:rsidRDefault="004C3ECB" w:rsidP="004C3ECB">
      <w:pPr>
        <w:pStyle w:val="BodyText"/>
        <w:ind w:firstLine="0"/>
        <w:rPr>
          <w:i/>
        </w:rPr>
      </w:pPr>
      <w:r w:rsidRPr="004C3ECB">
        <w:rPr>
          <w:i/>
        </w:rPr>
        <w:t xml:space="preserve">The last 20 months have seen a whirlwind of change from our Executive Branch in a variety of contexts. </w:t>
      </w:r>
      <w:r w:rsidR="006B2BED">
        <w:rPr>
          <w:i/>
        </w:rPr>
        <w:t>Federal w</w:t>
      </w:r>
      <w:r w:rsidRPr="004C3ECB">
        <w:rPr>
          <w:i/>
        </w:rPr>
        <w:t xml:space="preserve">ildlife conservation policy is no exception. Three areas exemplify the about-face that the Trump Administration has taken with respect to wildlife </w:t>
      </w:r>
      <w:r w:rsidR="003023DA">
        <w:rPr>
          <w:i/>
        </w:rPr>
        <w:t>conservation. First, while the Obama Administration interpreted the scope of criminal</w:t>
      </w:r>
      <w:r w:rsidRPr="004C3ECB">
        <w:rPr>
          <w:i/>
        </w:rPr>
        <w:t xml:space="preserve"> liability</w:t>
      </w:r>
      <w:r w:rsidR="003023DA">
        <w:rPr>
          <w:i/>
        </w:rPr>
        <w:t xml:space="preserve"> under the </w:t>
      </w:r>
      <w:r w:rsidR="003023DA" w:rsidRPr="004C3ECB">
        <w:rPr>
          <w:i/>
        </w:rPr>
        <w:t>Migratory Bird Treaty Act</w:t>
      </w:r>
      <w:r w:rsidR="003023DA">
        <w:rPr>
          <w:i/>
        </w:rPr>
        <w:t xml:space="preserve"> broadly, the Trump Administration has taken a rather narrow interpretation of such liability. Second, the Trump Administration has rolled back the expansive natural</w:t>
      </w:r>
      <w:r w:rsidR="00A04DAE">
        <w:rPr>
          <w:i/>
        </w:rPr>
        <w:t>-</w:t>
      </w:r>
      <w:r w:rsidR="003023DA">
        <w:rPr>
          <w:i/>
        </w:rPr>
        <w:t>resources mitigation policies espoused by the Obama Administration, eliminating the controversial goal of “net conservation gain.” Third, the Trump Administration is currently taking steps to modify the comprehensive land use plan amendments specific to the greater sage-grouse</w:t>
      </w:r>
      <w:r w:rsidRPr="004C3ECB">
        <w:rPr>
          <w:i/>
        </w:rPr>
        <w:t xml:space="preserve">. This paper explains the significant shifts that have occurred in these three areas and their implications for the regulated community. </w:t>
      </w:r>
    </w:p>
    <w:p w:rsidR="002C4FDE" w:rsidRDefault="002C4FDE" w:rsidP="0016136F">
      <w:pPr>
        <w:pStyle w:val="Heading1"/>
      </w:pPr>
      <w:r w:rsidRPr="0052205C">
        <w:t>Introduction</w:t>
      </w:r>
    </w:p>
    <w:p w:rsidR="006B2BED" w:rsidRDefault="006B2BED" w:rsidP="006B2BED">
      <w:pPr>
        <w:pStyle w:val="BodyText"/>
      </w:pPr>
      <w:r>
        <w:t>No one can accuse the Trump Administration of being</w:t>
      </w:r>
      <w:r w:rsidRPr="006B2BED">
        <w:t xml:space="preserve"> </w:t>
      </w:r>
      <w:r>
        <w:t>sedentary. At times, the rapid pace of the rollbacks, withdrawals, and about-faces can be breathtaking. Federal wildlife policy has not been immune to such changes</w:t>
      </w:r>
      <w:r w:rsidR="00325A68">
        <w:t xml:space="preserve">. Three high-profile areas that have been the target of significant revisions are (1) the scope of liability under Migratory Bird Treaty Act (MBTA), (2) </w:t>
      </w:r>
      <w:r w:rsidR="009D4F89">
        <w:t>natural</w:t>
      </w:r>
      <w:r w:rsidR="00A04DAE">
        <w:t>-</w:t>
      </w:r>
      <w:r w:rsidR="009D4F89">
        <w:t>resources</w:t>
      </w:r>
      <w:r w:rsidR="00325A68">
        <w:t xml:space="preserve"> mitigation policies, and (3) conservation of the greater sage-grouse through federal land use plan amendments. </w:t>
      </w:r>
      <w:r w:rsidR="00A04DAE">
        <w:t>T</w:t>
      </w:r>
      <w:r w:rsidR="00325A68">
        <w:t>hese changes</w:t>
      </w:r>
      <w:r w:rsidR="005C4675">
        <w:t>, reminiscent of a</w:t>
      </w:r>
      <w:r w:rsidR="00325A68">
        <w:t xml:space="preserve"> swinging pendulum</w:t>
      </w:r>
      <w:r w:rsidR="005C4675">
        <w:t>, have significant ramifications for regulated entities.</w:t>
      </w:r>
    </w:p>
    <w:p w:rsidR="002C4FDE" w:rsidRDefault="002C4FDE" w:rsidP="0016136F">
      <w:pPr>
        <w:pStyle w:val="Heading1"/>
      </w:pPr>
      <w:r w:rsidRPr="007D3924">
        <w:t xml:space="preserve">Migratory Bird Treaty Act </w:t>
      </w:r>
      <w:r w:rsidR="00922E6C" w:rsidRPr="007D3924">
        <w:t>Liability</w:t>
      </w:r>
    </w:p>
    <w:p w:rsidR="0052205C" w:rsidRPr="007D3924" w:rsidRDefault="004D772D" w:rsidP="0052205C">
      <w:pPr>
        <w:pStyle w:val="BodyText"/>
      </w:pPr>
      <w:r>
        <w:t xml:space="preserve">With </w:t>
      </w:r>
      <w:r w:rsidR="00F40A13">
        <w:t xml:space="preserve">considerable </w:t>
      </w:r>
      <w:r>
        <w:t>outcry and controversy, t</w:t>
      </w:r>
      <w:r w:rsidR="0052205C">
        <w:t xml:space="preserve">he pendulum of federal conservation policy has made a significant swing </w:t>
      </w:r>
      <w:r>
        <w:t xml:space="preserve">regarding the scope of actions that </w:t>
      </w:r>
      <w:r w:rsidR="0052205C">
        <w:t xml:space="preserve">are subject to criminal liability under </w:t>
      </w:r>
      <w:r>
        <w:t xml:space="preserve">the </w:t>
      </w:r>
      <w:r w:rsidR="0052205C">
        <w:t xml:space="preserve">MBTA. </w:t>
      </w:r>
      <w:r>
        <w:t>Consistent with the holdings of some federal courts, t</w:t>
      </w:r>
      <w:r w:rsidR="0052205C">
        <w:t>he Obama Administration</w:t>
      </w:r>
      <w:r w:rsidR="00F40A13">
        <w:t xml:space="preserve"> </w:t>
      </w:r>
      <w:r w:rsidR="0052205C">
        <w:t xml:space="preserve">took the position that the scope of the MBTA’s liability was very broad. </w:t>
      </w:r>
      <w:r w:rsidR="00F40A13">
        <w:t>Supported by the decisions of other federal courts, t</w:t>
      </w:r>
      <w:r w:rsidR="0052205C">
        <w:t>he Trump Administration</w:t>
      </w:r>
      <w:r w:rsidR="00F40A13">
        <w:t xml:space="preserve"> </w:t>
      </w:r>
      <w:r w:rsidR="0052205C">
        <w:t xml:space="preserve">has taken the exact opposite position. </w:t>
      </w:r>
    </w:p>
    <w:p w:rsidR="00891DA8" w:rsidRDefault="00891DA8" w:rsidP="00B21625">
      <w:pPr>
        <w:pStyle w:val="BodyText"/>
      </w:pPr>
      <w:r w:rsidRPr="00891DA8">
        <w:rPr>
          <w:b/>
          <w:u w:val="single"/>
        </w:rPr>
        <w:lastRenderedPageBreak/>
        <w:t xml:space="preserve">Statutory </w:t>
      </w:r>
      <w:r w:rsidR="00D62F43">
        <w:rPr>
          <w:b/>
          <w:u w:val="single"/>
        </w:rPr>
        <w:t>Prohibition</w:t>
      </w:r>
      <w:r>
        <w:t xml:space="preserve">. </w:t>
      </w:r>
      <w:r w:rsidR="002F4965">
        <w:t>The MBTA was adopted 10</w:t>
      </w:r>
      <w:r w:rsidR="002F4965" w:rsidRPr="006F4038">
        <w:t>0 years ago to protect migratory birds from unregulated hunting, spurred on by the extinction of the passenger pigeon through market</w:t>
      </w:r>
      <w:r>
        <w:t>-driven</w:t>
      </w:r>
      <w:r w:rsidR="002F4965" w:rsidRPr="006F4038">
        <w:t xml:space="preserve"> hunting. </w:t>
      </w:r>
      <w:r w:rsidR="002F4965">
        <w:t>The statute</w:t>
      </w:r>
      <w:r w:rsidR="002F4965" w:rsidRPr="006F4038">
        <w:t xml:space="preserve"> carries out the United States’ commitment to four international conventions with Canada, Japan, Mexico, and Russia, respectively, which protect birds that migrate across international borders.</w:t>
      </w:r>
      <w:r w:rsidRPr="006F4038">
        <w:rPr>
          <w:rStyle w:val="FootnoteReference"/>
        </w:rPr>
        <w:footnoteReference w:id="1"/>
      </w:r>
      <w:r>
        <w:t xml:space="preserve"> </w:t>
      </w:r>
      <w:r w:rsidRPr="006F4038">
        <w:t xml:space="preserve">The MBTA applies to over 1,000 species of migratory birds native to the United States or its territories that are specifically identified in </w:t>
      </w:r>
      <w:r>
        <w:t xml:space="preserve">the aforementioned </w:t>
      </w:r>
      <w:r w:rsidRPr="006F4038">
        <w:t>treaties. Protected species include songbirds, waterfowl, shorebirds, seabirds, wading birds, and raptors.</w:t>
      </w:r>
      <w:r w:rsidRPr="006F4038">
        <w:rPr>
          <w:rStyle w:val="FootnoteReference"/>
        </w:rPr>
        <w:footnoteReference w:id="2"/>
      </w:r>
    </w:p>
    <w:p w:rsidR="00D62F43" w:rsidRDefault="00891DA8" w:rsidP="00B21625">
      <w:pPr>
        <w:pStyle w:val="BodyText"/>
      </w:pPr>
      <w:r>
        <w:t>T</w:t>
      </w:r>
      <w:r w:rsidRPr="006F4038">
        <w:t>he MBTA makes it unlawful to “pursue, hunt, take, capture, kill, attempt to take, capture or kill, [or] possess . . . any migratory bird or any part, nest, or egg of any such bird,” named in the four treaties, unless expressly permitted by federal regulations.</w:t>
      </w:r>
      <w:r w:rsidRPr="006F4038">
        <w:rPr>
          <w:rStyle w:val="FootnoteReference"/>
        </w:rPr>
        <w:footnoteReference w:id="3"/>
      </w:r>
      <w:r>
        <w:t xml:space="preserve"> </w:t>
      </w:r>
      <w:r w:rsidRPr="006F4038">
        <w:t>The applicable regulations define “take” to mean to “pursue, hunt, shoot, wound, kill, trap, capture, or collect, or attempt to” do any of the foregoing acts.</w:t>
      </w:r>
      <w:r w:rsidRPr="006F4038">
        <w:rPr>
          <w:rStyle w:val="FootnoteReference"/>
        </w:rPr>
        <w:footnoteReference w:id="4"/>
      </w:r>
      <w:r>
        <w:t xml:space="preserve"> These prohibitions do not depend on the location of the action; they apply equally to actions on federal and non-federal land.</w:t>
      </w:r>
      <w:r w:rsidR="00D62F43">
        <w:t xml:space="preserve"> </w:t>
      </w:r>
    </w:p>
    <w:p w:rsidR="00891DA8" w:rsidRDefault="00D62F43" w:rsidP="00B21625">
      <w:pPr>
        <w:pStyle w:val="BodyText"/>
      </w:pPr>
      <w:r>
        <w:rPr>
          <w:b/>
          <w:u w:val="single"/>
        </w:rPr>
        <w:t>Enforcement Provisions</w:t>
      </w:r>
      <w:r>
        <w:t xml:space="preserve">. </w:t>
      </w:r>
      <w:r w:rsidR="00891DA8" w:rsidRPr="006F4038">
        <w:t>The MBTA imposes significant pena</w:t>
      </w:r>
      <w:r w:rsidR="00891DA8">
        <w:t xml:space="preserve">lties on violators of the Act. </w:t>
      </w:r>
      <w:r w:rsidR="00891DA8" w:rsidRPr="006F4038">
        <w:t>Under the general misdemeanor provision of the MBTA, a violator may be subject to penalties of up to $15,000, imprisonment for up to six months for an unauthorized take of a protected bird, or both, regardless of intent.</w:t>
      </w:r>
      <w:r w:rsidR="00891DA8" w:rsidRPr="006F4038">
        <w:rPr>
          <w:rStyle w:val="FootnoteReference"/>
        </w:rPr>
        <w:footnoteReference w:id="5"/>
      </w:r>
      <w:r w:rsidR="00891DA8" w:rsidRPr="006F4038">
        <w:t xml:space="preserve"> Under the felony provision of the MBTA, whoever knowingly takes a protected migratory bird with intent to sell such bird or whoever knowingly sells a protected migratory bird may be subject to fines of up to $250,000 ($500,000 for corporations), imprisonment for up to two years, or both.</w:t>
      </w:r>
      <w:r w:rsidR="00891DA8" w:rsidRPr="006F4038">
        <w:rPr>
          <w:rStyle w:val="FootnoteReference"/>
        </w:rPr>
        <w:footnoteReference w:id="6"/>
      </w:r>
      <w:r w:rsidR="00891DA8" w:rsidRPr="006F4038">
        <w:t xml:space="preserve"> The statute’s take prohibitions and penalties for prohibited take are enforced by the Office of Law Enforcement </w:t>
      </w:r>
      <w:r w:rsidR="00891DA8">
        <w:t>of the U.S. Fish and Wildlife Service (</w:t>
      </w:r>
      <w:r w:rsidR="00FD287C">
        <w:t>USFWS</w:t>
      </w:r>
      <w:r w:rsidR="00891DA8">
        <w:t xml:space="preserve">) </w:t>
      </w:r>
      <w:r w:rsidR="00891DA8" w:rsidRPr="006F4038">
        <w:t>through criminal prosecution by the U.S. Department of Justice (DOJ) in federal court.</w:t>
      </w:r>
      <w:r w:rsidR="00891DA8">
        <w:t xml:space="preserve"> There is no provision for civil liability under the MBTA, and the statute </w:t>
      </w:r>
      <w:r w:rsidR="00891DA8" w:rsidRPr="006F4038">
        <w:t>does not create a private right of action to enjoin activities that might violate its provisions.</w:t>
      </w:r>
      <w:r w:rsidR="00891DA8" w:rsidRPr="006F4038">
        <w:rPr>
          <w:rStyle w:val="FootnoteReference"/>
        </w:rPr>
        <w:footnoteReference w:id="7"/>
      </w:r>
      <w:r w:rsidR="00891DA8" w:rsidRPr="006F4038">
        <w:t xml:space="preserve">  </w:t>
      </w:r>
    </w:p>
    <w:p w:rsidR="00D62F43" w:rsidRDefault="00D62F43" w:rsidP="00B21625">
      <w:pPr>
        <w:pStyle w:val="BodyText"/>
      </w:pPr>
      <w:r w:rsidRPr="00D62F43">
        <w:rPr>
          <w:b/>
          <w:u w:val="single"/>
        </w:rPr>
        <w:t>Permit Provisions</w:t>
      </w:r>
      <w:r>
        <w:t xml:space="preserve">. </w:t>
      </w:r>
      <w:r w:rsidRPr="006F4038">
        <w:t>Currently, permits may be obtained to</w:t>
      </w:r>
      <w:r w:rsidR="008049C4">
        <w:t>, among other things,</w:t>
      </w:r>
      <w:r w:rsidRPr="006F4038">
        <w:t xml:space="preserve"> import migratory birds, collect migratory birds for scientific purposes, or destroy depredating (i.e., predatory or destructive) migratory birds.</w:t>
      </w:r>
      <w:r w:rsidRPr="006F4038">
        <w:rPr>
          <w:rStyle w:val="FootnoteReference"/>
        </w:rPr>
        <w:footnoteReference w:id="8"/>
      </w:r>
      <w:r w:rsidRPr="006F4038">
        <w:t xml:space="preserve"> In addition, “special purpose” permits may be obtained for activities related to migratory birds, parts, nests, or eggs when there is “a sufficient showing of benefit to the migratory bird resource, important research </w:t>
      </w:r>
      <w:r w:rsidRPr="006F4038">
        <w:lastRenderedPageBreak/>
        <w:t>reasons, reasons of human concern for individual birds, or other compelling justification.”</w:t>
      </w:r>
      <w:r w:rsidRPr="006F4038">
        <w:rPr>
          <w:rStyle w:val="FootnoteReference"/>
        </w:rPr>
        <w:footnoteReference w:id="9"/>
      </w:r>
      <w:r w:rsidRPr="006F4038">
        <w:t xml:space="preserve">  However, permits are not generally available </w:t>
      </w:r>
      <w:r w:rsidR="008049C4">
        <w:t xml:space="preserve">to authorize the injury or death </w:t>
      </w:r>
      <w:r w:rsidRPr="006F4038">
        <w:t>of migratory birds during otherwise lawful activities</w:t>
      </w:r>
      <w:r w:rsidR="008049C4">
        <w:t>―</w:t>
      </w:r>
      <w:r w:rsidRPr="006F4038">
        <w:t>such as mining, oil and gas exploration and development, and operation of wind power and solar facilities</w:t>
      </w:r>
      <w:r w:rsidR="008049C4">
        <w:t>―which is commonly referred to as incidental take</w:t>
      </w:r>
      <w:r w:rsidRPr="006F4038">
        <w:t>.</w:t>
      </w:r>
      <w:r w:rsidR="008049C4">
        <w:rPr>
          <w:rStyle w:val="FootnoteReference"/>
        </w:rPr>
        <w:footnoteReference w:id="10"/>
      </w:r>
    </w:p>
    <w:p w:rsidR="00C10CBD" w:rsidRDefault="00D62F43" w:rsidP="00B21625">
      <w:pPr>
        <w:pStyle w:val="BodyText"/>
      </w:pPr>
      <w:r w:rsidRPr="00D62F43">
        <w:rPr>
          <w:b/>
          <w:u w:val="single"/>
        </w:rPr>
        <w:t>Circuit Split</w:t>
      </w:r>
      <w:r>
        <w:t xml:space="preserve">. </w:t>
      </w:r>
      <w:r w:rsidR="00C10CBD">
        <w:t>O</w:t>
      </w:r>
      <w:r w:rsidR="002F4965">
        <w:t xml:space="preserve">ver the last </w:t>
      </w:r>
      <w:r w:rsidR="00C10CBD">
        <w:t>few</w:t>
      </w:r>
      <w:r w:rsidR="002F4965">
        <w:t xml:space="preserve"> decades, </w:t>
      </w:r>
      <w:r w:rsidR="008049C4">
        <w:t xml:space="preserve">a circuit split has developed regarding </w:t>
      </w:r>
      <w:r w:rsidR="00C10CBD">
        <w:t xml:space="preserve">the issue of </w:t>
      </w:r>
      <w:r w:rsidR="008049C4">
        <w:t xml:space="preserve">whether incidental take falls within the scope of the MBTA’s take </w:t>
      </w:r>
      <w:r w:rsidR="00C10CBD">
        <w:t>prohibition</w:t>
      </w:r>
      <w:r w:rsidR="002F4965" w:rsidRPr="006F4038">
        <w:t>.</w:t>
      </w:r>
      <w:r w:rsidR="00C10CBD">
        <w:t xml:space="preserve"> On the one hand, the Second and Tenth circuits have held that entities can be held liable for take that occurs during otherwise lawful </w:t>
      </w:r>
      <w:r w:rsidR="00C10CBD" w:rsidRPr="00B21625">
        <w:t>activities</w:t>
      </w:r>
      <w:r w:rsidR="00EB2B5D">
        <w:t>.</w:t>
      </w:r>
      <w:r w:rsidR="008049C4">
        <w:rPr>
          <w:rStyle w:val="FootnoteReference"/>
        </w:rPr>
        <w:footnoteReference w:id="11"/>
      </w:r>
      <w:r w:rsidR="008049C4">
        <w:t xml:space="preserve"> </w:t>
      </w:r>
      <w:r w:rsidR="00C10CBD">
        <w:t xml:space="preserve">The Fifth Circuit has </w:t>
      </w:r>
      <w:r w:rsidR="003473CF">
        <w:t>reached</w:t>
      </w:r>
      <w:r w:rsidR="00C10CBD">
        <w:t xml:space="preserve"> the opposition </w:t>
      </w:r>
      <w:r w:rsidR="003473CF">
        <w:t>conclusion</w:t>
      </w:r>
      <w:r w:rsidR="00C10CBD">
        <w:t xml:space="preserve">, holding that “take” under the MBTA is limited to deliberate acts done directly </w:t>
      </w:r>
      <w:bookmarkStart w:id="1" w:name="co_pp_sp_506_489_1"/>
      <w:bookmarkEnd w:id="1"/>
      <w:r w:rsidR="00C10CBD">
        <w:t>and intentionally to migratory birds.</w:t>
      </w:r>
      <w:r w:rsidR="00A04DAE">
        <w:rPr>
          <w:rStyle w:val="FootnoteReference"/>
        </w:rPr>
        <w:footnoteReference w:id="12"/>
      </w:r>
      <w:r w:rsidR="00C10CBD">
        <w:t xml:space="preserve"> The Fifth Circuit agreed with previous decisions from the Eighth and Ninth circuits, which had held that habitat destruction or modification that indirectly resulted in the death of migratory birds was not a violation of the MBTA.</w:t>
      </w:r>
      <w:r w:rsidR="00A04DAE">
        <w:rPr>
          <w:rStyle w:val="FootnoteReference"/>
        </w:rPr>
        <w:footnoteReference w:id="13"/>
      </w:r>
      <w:r w:rsidR="003473CF">
        <w:t xml:space="preserve"> </w:t>
      </w:r>
      <w:r w:rsidR="00C10CBD">
        <w:t>In particular, the Ninth Circuit stated that the</w:t>
      </w:r>
      <w:r w:rsidR="003473CF">
        <w:t xml:space="preserve"> definition of take “</w:t>
      </w:r>
      <w:r w:rsidR="00C10CBD">
        <w:t>describes physical conduct of the sort engaged in by hunters and poachers, conduct which was undoubtedly a concern at the time of the statute’s enactment in 1918. The statute and regulations promulgated under it make no mention of habitat modification or destruction.</w:t>
      </w:r>
      <w:r w:rsidR="003473CF">
        <w:t>”</w:t>
      </w:r>
      <w:r w:rsidR="00A04DAE">
        <w:rPr>
          <w:rStyle w:val="FootnoteReference"/>
        </w:rPr>
        <w:footnoteReference w:id="14"/>
      </w:r>
      <w:r w:rsidR="00C10CBD">
        <w:t xml:space="preserve"> The Eighth Circuit agreed with this language from the Ninth Circuit’s decision.</w:t>
      </w:r>
      <w:r w:rsidR="00A04DAE">
        <w:rPr>
          <w:rStyle w:val="FootnoteReference"/>
        </w:rPr>
        <w:footnoteReference w:id="15"/>
      </w:r>
    </w:p>
    <w:p w:rsidR="003473CF" w:rsidRPr="002F4965" w:rsidRDefault="003473CF" w:rsidP="00B21625">
      <w:pPr>
        <w:pStyle w:val="BodyText"/>
        <w:rPr>
          <w:b/>
        </w:rPr>
      </w:pPr>
      <w:r>
        <w:t>Note that this circuit split is sometimes framed as a disagreement as to whether the MBTA is a “strict liability” statute. But, as the Fifth Circuit noted, this is a non-sequitur.</w:t>
      </w:r>
      <w:r>
        <w:rPr>
          <w:rStyle w:val="FootnoteReference"/>
        </w:rPr>
        <w:footnoteReference w:id="16"/>
      </w:r>
      <w:r>
        <w:t xml:space="preserve"> </w:t>
      </w:r>
      <w:r w:rsidR="00334F9A">
        <w:t>The Fifth Circuit expressly agreed with the other courts that the MBTA is a strict liability statute for which no criminal intent is required.</w:t>
      </w:r>
      <w:r w:rsidR="00334F9A">
        <w:rPr>
          <w:rStyle w:val="FootnoteReference"/>
        </w:rPr>
        <w:footnoteReference w:id="17"/>
      </w:r>
      <w:r w:rsidR="00334F9A">
        <w:t xml:space="preserve"> T</w:t>
      </w:r>
      <w:r>
        <w:t xml:space="preserve">he </w:t>
      </w:r>
      <w:r w:rsidR="00334F9A">
        <w:t xml:space="preserve">circuit split </w:t>
      </w:r>
      <w:r>
        <w:t xml:space="preserve">is </w:t>
      </w:r>
      <w:r w:rsidR="00334F9A">
        <w:t xml:space="preserve">about </w:t>
      </w:r>
      <w:r>
        <w:t xml:space="preserve">what acts </w:t>
      </w:r>
      <w:r w:rsidR="00334F9A">
        <w:t xml:space="preserve">fall under the </w:t>
      </w:r>
      <w:r>
        <w:t>take</w:t>
      </w:r>
      <w:r w:rsidR="00334F9A">
        <w:t xml:space="preserve"> prohibition: any act that results in the death of a migratory bird or only those </w:t>
      </w:r>
      <w:r w:rsidR="00334F9A" w:rsidRPr="00334F9A">
        <w:t>deliberate acts done directly and intentionally to migratory birds</w:t>
      </w:r>
      <w:r>
        <w:t>.</w:t>
      </w:r>
      <w:r w:rsidR="00334F9A">
        <w:rPr>
          <w:rStyle w:val="FootnoteReference"/>
        </w:rPr>
        <w:footnoteReference w:id="18"/>
      </w:r>
      <w:r>
        <w:t xml:space="preserve">  </w:t>
      </w:r>
    </w:p>
    <w:p w:rsidR="005D25A1" w:rsidRDefault="005D25A1" w:rsidP="00B21625">
      <w:pPr>
        <w:pStyle w:val="BodyText"/>
      </w:pPr>
      <w:r w:rsidRPr="00520456">
        <w:rPr>
          <w:b/>
          <w:u w:val="single"/>
        </w:rPr>
        <w:t xml:space="preserve">Dueling </w:t>
      </w:r>
      <w:r w:rsidR="00922E6C" w:rsidRPr="00520456">
        <w:rPr>
          <w:b/>
          <w:u w:val="single"/>
        </w:rPr>
        <w:t>Solicitor’s Opinion</w:t>
      </w:r>
      <w:r w:rsidRPr="00520456">
        <w:rPr>
          <w:b/>
          <w:u w:val="single"/>
        </w:rPr>
        <w:t>s</w:t>
      </w:r>
      <w:r>
        <w:t>.</w:t>
      </w:r>
      <w:r w:rsidR="00FF4F8D">
        <w:t xml:space="preserve"> In the waning days of the Obama Administration, the </w:t>
      </w:r>
      <w:r w:rsidR="00A04DAE">
        <w:t>then-</w:t>
      </w:r>
      <w:r w:rsidR="00FF4F8D">
        <w:t>Solicitor of the Interior</w:t>
      </w:r>
      <w:r w:rsidR="000220B5">
        <w:t xml:space="preserve"> Hilary Tompkins</w:t>
      </w:r>
      <w:r w:rsidR="00FF4F8D">
        <w:t xml:space="preserve"> issued </w:t>
      </w:r>
      <w:r w:rsidR="00FF4F8D">
        <w:rPr>
          <w:color w:val="3F4242"/>
        </w:rPr>
        <w:t>So</w:t>
      </w:r>
      <w:r w:rsidR="00FF4F8D">
        <w:rPr>
          <w:color w:val="0D0F0E"/>
        </w:rPr>
        <w:t>li</w:t>
      </w:r>
      <w:r w:rsidR="00FF4F8D">
        <w:rPr>
          <w:color w:val="3F4242"/>
        </w:rPr>
        <w:t>c</w:t>
      </w:r>
      <w:r w:rsidR="00FF4F8D">
        <w:rPr>
          <w:color w:val="1D1F1F"/>
        </w:rPr>
        <w:t>it</w:t>
      </w:r>
      <w:r w:rsidR="00FF4F8D">
        <w:rPr>
          <w:color w:val="3F4242"/>
        </w:rPr>
        <w:t>o</w:t>
      </w:r>
      <w:r w:rsidR="00FF4F8D">
        <w:rPr>
          <w:color w:val="1D1F1F"/>
        </w:rPr>
        <w:t xml:space="preserve">r’s </w:t>
      </w:r>
      <w:r w:rsidR="00FF4F8D">
        <w:rPr>
          <w:color w:val="3F4242"/>
        </w:rPr>
        <w:t>Op</w:t>
      </w:r>
      <w:r w:rsidR="00FF4F8D">
        <w:rPr>
          <w:color w:val="0D0F0E"/>
        </w:rPr>
        <w:t>ini</w:t>
      </w:r>
      <w:r w:rsidR="00FF4F8D">
        <w:rPr>
          <w:color w:val="3F4242"/>
        </w:rPr>
        <w:t>o</w:t>
      </w:r>
      <w:r w:rsidR="00FF4F8D">
        <w:rPr>
          <w:color w:val="1D1F1F"/>
        </w:rPr>
        <w:t xml:space="preserve">n </w:t>
      </w:r>
      <w:r w:rsidR="00FF4F8D">
        <w:rPr>
          <w:color w:val="2E3030"/>
        </w:rPr>
        <w:t>M</w:t>
      </w:r>
      <w:r w:rsidR="00A04DAE">
        <w:rPr>
          <w:color w:val="2E3030"/>
        </w:rPr>
        <w:noBreakHyphen/>
      </w:r>
      <w:r w:rsidR="00FF4F8D">
        <w:rPr>
          <w:color w:val="2E3030"/>
        </w:rPr>
        <w:t>3704</w:t>
      </w:r>
      <w:r w:rsidR="00FF4F8D">
        <w:rPr>
          <w:color w:val="0D0F0E"/>
        </w:rPr>
        <w:t>1―</w:t>
      </w:r>
      <w:r w:rsidR="00FF4F8D">
        <w:rPr>
          <w:i/>
          <w:iCs/>
          <w:color w:val="1D1F1F"/>
        </w:rPr>
        <w:t>In</w:t>
      </w:r>
      <w:r w:rsidR="00FF4F8D">
        <w:rPr>
          <w:i/>
          <w:iCs/>
          <w:color w:val="3F4242"/>
        </w:rPr>
        <w:t>cidental Take</w:t>
      </w:r>
      <w:r w:rsidR="00FF4F8D">
        <w:rPr>
          <w:color w:val="0D0F0E"/>
        </w:rPr>
        <w:t xml:space="preserve"> </w:t>
      </w:r>
      <w:r w:rsidR="00FF4F8D">
        <w:rPr>
          <w:i/>
          <w:iCs/>
          <w:color w:val="2E3030"/>
        </w:rPr>
        <w:t xml:space="preserve">Prohibited </w:t>
      </w:r>
      <w:r w:rsidR="00FF4F8D">
        <w:rPr>
          <w:i/>
          <w:iCs/>
          <w:color w:val="3F4242"/>
        </w:rPr>
        <w:t xml:space="preserve">Under </w:t>
      </w:r>
      <w:r w:rsidR="00FF4F8D">
        <w:rPr>
          <w:i/>
          <w:iCs/>
          <w:color w:val="2E3030"/>
        </w:rPr>
        <w:t xml:space="preserve">the </w:t>
      </w:r>
      <w:r w:rsidR="00FF4F8D">
        <w:rPr>
          <w:i/>
          <w:iCs/>
          <w:color w:val="3F4242"/>
        </w:rPr>
        <w:t>Mig</w:t>
      </w:r>
      <w:r w:rsidR="00FF4F8D">
        <w:rPr>
          <w:i/>
          <w:iCs/>
          <w:color w:val="1D1F1F"/>
        </w:rPr>
        <w:t>r</w:t>
      </w:r>
      <w:r w:rsidR="00FF4F8D">
        <w:rPr>
          <w:i/>
          <w:iCs/>
          <w:color w:val="3F4242"/>
        </w:rPr>
        <w:t xml:space="preserve">atory </w:t>
      </w:r>
      <w:r w:rsidR="00FF4F8D">
        <w:rPr>
          <w:i/>
          <w:iCs/>
          <w:color w:val="2E3030"/>
        </w:rPr>
        <w:t xml:space="preserve">Bird </w:t>
      </w:r>
      <w:r w:rsidR="00FF4F8D">
        <w:rPr>
          <w:i/>
          <w:iCs/>
          <w:color w:val="3F4242"/>
        </w:rPr>
        <w:t>Treaty Act</w:t>
      </w:r>
      <w:r w:rsidR="00FF4F8D">
        <w:rPr>
          <w:iCs/>
          <w:color w:val="3F4242"/>
        </w:rPr>
        <w:t>.</w:t>
      </w:r>
      <w:r w:rsidR="00A04DAE">
        <w:rPr>
          <w:rStyle w:val="FootnoteReference"/>
          <w:iCs/>
          <w:color w:val="3F4242"/>
        </w:rPr>
        <w:footnoteReference w:id="19"/>
      </w:r>
      <w:r w:rsidR="00A04DAE">
        <w:rPr>
          <w:iCs/>
          <w:color w:val="3F4242"/>
        </w:rPr>
        <w:t xml:space="preserve"> </w:t>
      </w:r>
      <w:r w:rsidR="00FF4F8D">
        <w:t xml:space="preserve">This opinion concluded that “the MBTA’s broad prohibition on taking and killing migratory birds by any </w:t>
      </w:r>
      <w:r w:rsidR="00FF4F8D">
        <w:lastRenderedPageBreak/>
        <w:t>means and in any manner includes incidental taking and killing.”</w:t>
      </w:r>
      <w:r w:rsidR="00FF4F8D">
        <w:rPr>
          <w:rStyle w:val="FootnoteReference"/>
          <w:szCs w:val="22"/>
        </w:rPr>
        <w:footnoteReference w:id="20"/>
      </w:r>
      <w:r w:rsidR="00FF4F8D">
        <w:t xml:space="preserve"> Less than a month later, the Trump Administration temporarily suspended and withdrew this M-Opinion, among others.</w:t>
      </w:r>
      <w:r w:rsidR="00FF4F8D">
        <w:rPr>
          <w:rStyle w:val="FootnoteReference"/>
          <w:szCs w:val="22"/>
        </w:rPr>
        <w:footnoteReference w:id="21"/>
      </w:r>
      <w:r w:rsidR="00FF4F8D">
        <w:t xml:space="preserve"> On December 22, 2017, the </w:t>
      </w:r>
      <w:r w:rsidR="000220B5">
        <w:t xml:space="preserve">Acting </w:t>
      </w:r>
      <w:r w:rsidR="00FF4F8D">
        <w:t>Solicitor of the Interior</w:t>
      </w:r>
      <w:r w:rsidR="000220B5">
        <w:t xml:space="preserve"> Daniel Jorjani</w:t>
      </w:r>
      <w:r w:rsidR="00FF4F8D">
        <w:t xml:space="preserve"> issued Solicitor’s Opinion M-37050</w:t>
      </w:r>
      <w:r w:rsidR="00FF4F8D">
        <w:rPr>
          <w:color w:val="0D0F0E"/>
        </w:rPr>
        <w:t>―</w:t>
      </w:r>
      <w:r w:rsidR="00FF4F8D">
        <w:rPr>
          <w:i/>
          <w:iCs/>
          <w:color w:val="1D1F1F"/>
        </w:rPr>
        <w:t>T</w:t>
      </w:r>
      <w:r w:rsidR="00FF4F8D">
        <w:rPr>
          <w:i/>
          <w:iCs/>
          <w:color w:val="2E3030"/>
        </w:rPr>
        <w:t xml:space="preserve">he </w:t>
      </w:r>
      <w:r w:rsidR="00FF4F8D">
        <w:rPr>
          <w:i/>
          <w:iCs/>
          <w:color w:val="3F4242"/>
        </w:rPr>
        <w:t>Mig</w:t>
      </w:r>
      <w:r w:rsidR="00FF4F8D">
        <w:rPr>
          <w:i/>
          <w:iCs/>
          <w:color w:val="1D1F1F"/>
        </w:rPr>
        <w:t>r</w:t>
      </w:r>
      <w:r w:rsidR="00FF4F8D">
        <w:rPr>
          <w:i/>
          <w:iCs/>
          <w:color w:val="3F4242"/>
        </w:rPr>
        <w:t xml:space="preserve">atory </w:t>
      </w:r>
      <w:r w:rsidR="00FF4F8D">
        <w:rPr>
          <w:i/>
          <w:iCs/>
          <w:color w:val="2E3030"/>
        </w:rPr>
        <w:t xml:space="preserve">Bird </w:t>
      </w:r>
      <w:r w:rsidR="00FF4F8D">
        <w:rPr>
          <w:i/>
          <w:iCs/>
          <w:color w:val="3F4242"/>
        </w:rPr>
        <w:t>Treaty Act Does Not Prohibit Incidental Take</w:t>
      </w:r>
      <w:r w:rsidR="00FF4F8D">
        <w:rPr>
          <w:iCs/>
          <w:color w:val="3F4242"/>
        </w:rPr>
        <w:t>.</w:t>
      </w:r>
      <w:r w:rsidR="00FF4F8D">
        <w:rPr>
          <w:rStyle w:val="FootnoteReference"/>
          <w:iCs/>
          <w:color w:val="3F4242"/>
          <w:szCs w:val="22"/>
        </w:rPr>
        <w:footnoteReference w:id="22"/>
      </w:r>
      <w:r w:rsidR="00FF4F8D">
        <w:t xml:space="preserve"> This M-Opinion reached the exact opposite conclusion as M-37041, finding that the statute’s prohibitions apply only to affirmative actions that have as their purpose the taking or killing of migratory </w:t>
      </w:r>
      <w:r w:rsidR="00FF4F8D" w:rsidRPr="00FF4F8D">
        <w:t>birds, their nests, or their eggs and do not apply to incidental take.</w:t>
      </w:r>
      <w:r w:rsidR="00FF4F8D">
        <w:rPr>
          <w:rStyle w:val="FootnoteReference"/>
        </w:rPr>
        <w:footnoteReference w:id="23"/>
      </w:r>
      <w:r w:rsidR="00FF4F8D">
        <w:t xml:space="preserve"> Thus, at this time, the position of the Department of the Interior </w:t>
      </w:r>
      <w:r w:rsidR="000C5493">
        <w:t xml:space="preserve">(DOI) </w:t>
      </w:r>
      <w:r w:rsidR="00FF4F8D">
        <w:t>is that any migratory bird injuries or mortalities that occur during the course of otherwise lawful activities is not a violation of the MBTA.</w:t>
      </w:r>
    </w:p>
    <w:p w:rsidR="00265065" w:rsidRDefault="00265065" w:rsidP="00B21625">
      <w:pPr>
        <w:pStyle w:val="BodyText"/>
      </w:pPr>
      <w:r>
        <w:t>Not surprisingly, the new M-Opinion has already been challenged in court. On May 24, 2018, the National Audubon Society, American Bird Conservancy, Center for Biological Diversity, and Defenders of Wildlife filed a lawsuit in federal court in the Southern District of New York</w:t>
      </w:r>
      <w:r w:rsidR="000220B5">
        <w:t xml:space="preserve"> </w:t>
      </w:r>
      <w:r w:rsidR="00320DCB">
        <w:t xml:space="preserve">seeking declaratory and injunctive relief </w:t>
      </w:r>
      <w:r w:rsidR="000220B5">
        <w:t xml:space="preserve">against </w:t>
      </w:r>
      <w:r w:rsidR="003F111F">
        <w:t>DOI</w:t>
      </w:r>
      <w:r w:rsidR="000220B5">
        <w:t xml:space="preserve">, U.S. Fish and Wildlife Service, and </w:t>
      </w:r>
      <w:r w:rsidR="00320DCB">
        <w:t>Acting Solicitor</w:t>
      </w:r>
      <w:r w:rsidR="000220B5">
        <w:t xml:space="preserve"> Jor</w:t>
      </w:r>
      <w:r w:rsidR="00AD6603">
        <w:t>j</w:t>
      </w:r>
      <w:r w:rsidR="000220B5">
        <w:t>ani</w:t>
      </w:r>
      <w:r w:rsidR="004612F7">
        <w:t>, asserting that that the M-Opinion was arbitrary, capricious, and contrary to law</w:t>
      </w:r>
      <w:r>
        <w:t>.</w:t>
      </w:r>
      <w:r>
        <w:rPr>
          <w:rStyle w:val="FootnoteReference"/>
        </w:rPr>
        <w:footnoteReference w:id="24"/>
      </w:r>
      <w:r>
        <w:t xml:space="preserve"> They have also alleged that </w:t>
      </w:r>
      <w:r w:rsidR="000C5493">
        <w:t>DOI</w:t>
      </w:r>
      <w:r w:rsidR="004612F7">
        <w:t xml:space="preserve"> </w:t>
      </w:r>
      <w:r>
        <w:t>violated the notice-and-comment requirements of the Administrative Procedure Act</w:t>
      </w:r>
      <w:r w:rsidR="004612F7">
        <w:t xml:space="preserve"> and the requirements of the National Environmental Policy Act </w:t>
      </w:r>
      <w:r w:rsidR="00FD7685">
        <w:t xml:space="preserve">(NEPA) </w:t>
      </w:r>
      <w:r w:rsidR="004612F7">
        <w:t>in issuing the M-Opinion.</w:t>
      </w:r>
      <w:r w:rsidR="005917B2">
        <w:t xml:space="preserve"> O</w:t>
      </w:r>
      <w:r>
        <w:t>n the same day, Natural Resources Defense Council and National Wildlife Federation</w:t>
      </w:r>
      <w:r w:rsidR="004612F7">
        <w:t xml:space="preserve"> filed a similar challenge</w:t>
      </w:r>
      <w:r w:rsidR="000220B5">
        <w:t xml:space="preserve"> in the same court</w:t>
      </w:r>
      <w:r w:rsidR="00320DCB">
        <w:t xml:space="preserve"> against the same parties</w:t>
      </w:r>
      <w:r w:rsidR="004612F7">
        <w:t>, alleging that the M</w:t>
      </w:r>
      <w:r w:rsidR="000220B5">
        <w:noBreakHyphen/>
      </w:r>
      <w:r w:rsidR="004612F7">
        <w:t>Opinion is arbitrary, capricious, and contrary to law.</w:t>
      </w:r>
      <w:r w:rsidR="004612F7">
        <w:rPr>
          <w:rStyle w:val="FootnoteReference"/>
        </w:rPr>
        <w:footnoteReference w:id="25"/>
      </w:r>
      <w:r w:rsidR="005917B2">
        <w:t xml:space="preserve"> </w:t>
      </w:r>
      <w:r w:rsidR="000220B5">
        <w:t>A few months later, on September 5, 2018, eight states filed a complaint in that court that makes similar allegations</w:t>
      </w:r>
      <w:r w:rsidR="00320DCB">
        <w:t xml:space="preserve"> against the same parties</w:t>
      </w:r>
      <w:r w:rsidR="000220B5">
        <w:t>.</w:t>
      </w:r>
      <w:r w:rsidR="00320DCB">
        <w:rPr>
          <w:rStyle w:val="FootnoteReference"/>
        </w:rPr>
        <w:footnoteReference w:id="26"/>
      </w:r>
      <w:r w:rsidR="000220B5">
        <w:t xml:space="preserve"> </w:t>
      </w:r>
      <w:r w:rsidR="004612F7">
        <w:t>It is too early to tell whether or how those lawsuits may affect this issue.</w:t>
      </w:r>
    </w:p>
    <w:p w:rsidR="00D842AE" w:rsidRDefault="00922E6C" w:rsidP="00B21625">
      <w:pPr>
        <w:pStyle w:val="BodyText"/>
      </w:pPr>
      <w:r w:rsidRPr="004612F7">
        <w:rPr>
          <w:b/>
          <w:u w:val="single"/>
        </w:rPr>
        <w:t xml:space="preserve">Practical </w:t>
      </w:r>
      <w:r w:rsidR="004612F7" w:rsidRPr="004612F7">
        <w:rPr>
          <w:b/>
          <w:u w:val="single"/>
        </w:rPr>
        <w:t>I</w:t>
      </w:r>
      <w:r w:rsidRPr="004612F7">
        <w:rPr>
          <w:b/>
          <w:u w:val="single"/>
        </w:rPr>
        <w:t>mplications</w:t>
      </w:r>
      <w:r w:rsidR="004612F7">
        <w:t>.</w:t>
      </w:r>
      <w:r w:rsidR="00FF4F8D">
        <w:t xml:space="preserve"> </w:t>
      </w:r>
      <w:r w:rsidR="004612F7">
        <w:t xml:space="preserve">For the time being, </w:t>
      </w:r>
      <w:r w:rsidR="00D842AE">
        <w:t xml:space="preserve">one of </w:t>
      </w:r>
      <w:r w:rsidR="004612F7">
        <w:t>the practical implications of M</w:t>
      </w:r>
      <w:r w:rsidR="00D842AE">
        <w:noBreakHyphen/>
      </w:r>
      <w:r w:rsidR="004612F7">
        <w:t xml:space="preserve">37050 </w:t>
      </w:r>
      <w:r w:rsidR="00D842AE">
        <w:t xml:space="preserve">is </w:t>
      </w:r>
      <w:r w:rsidR="004612F7">
        <w:t xml:space="preserve">that the </w:t>
      </w:r>
      <w:r w:rsidR="00FD287C">
        <w:t>USFWS</w:t>
      </w:r>
      <w:r w:rsidR="004612F7">
        <w:t xml:space="preserve">’s Office of Law Enforcement will not refer any incidental take </w:t>
      </w:r>
      <w:r w:rsidR="004B5FDD">
        <w:t xml:space="preserve">of migratory birds </w:t>
      </w:r>
      <w:r w:rsidR="004612F7">
        <w:t xml:space="preserve">to the Department </w:t>
      </w:r>
      <w:r w:rsidR="004612F7" w:rsidRPr="004B5FDD">
        <w:t>of Justice for prosecution</w:t>
      </w:r>
      <w:r w:rsidR="00D842AE">
        <w:t>.</w:t>
      </w:r>
      <w:r w:rsidR="00D842AE">
        <w:rPr>
          <w:rStyle w:val="FootnoteReference"/>
        </w:rPr>
        <w:footnoteReference w:id="27"/>
      </w:r>
      <w:r w:rsidR="004B5FDD" w:rsidRPr="004B5FDD">
        <w:t xml:space="preserve"> </w:t>
      </w:r>
      <w:r w:rsidR="00D842AE">
        <w:t xml:space="preserve">While the Department of Justice is not bound by the M-Opinion, it is highly unlikely (especially under this Administration) that the Justice Department would independently pursue an MBTA prosecution for incidental take. </w:t>
      </w:r>
    </w:p>
    <w:p w:rsidR="00922E6C" w:rsidRDefault="00D842AE" w:rsidP="00B21625">
      <w:pPr>
        <w:pStyle w:val="BodyText"/>
      </w:pPr>
      <w:r>
        <w:t xml:space="preserve">Another practical implication is that </w:t>
      </w:r>
      <w:r w:rsidR="004B5FDD">
        <w:t xml:space="preserve">the </w:t>
      </w:r>
      <w:r w:rsidR="00FD287C">
        <w:t>USFWS</w:t>
      </w:r>
      <w:r w:rsidR="004B5FDD" w:rsidRPr="004B5FDD">
        <w:t xml:space="preserve"> will not </w:t>
      </w:r>
      <w:r w:rsidR="004B5FDD">
        <w:t xml:space="preserve">have the same leverage to </w:t>
      </w:r>
      <w:r>
        <w:t xml:space="preserve">negotiate </w:t>
      </w:r>
      <w:r w:rsidR="004B5FDD">
        <w:t xml:space="preserve">commitments from </w:t>
      </w:r>
      <w:r>
        <w:t>project proponents</w:t>
      </w:r>
      <w:r w:rsidR="004B5FDD">
        <w:t xml:space="preserve"> to implement </w:t>
      </w:r>
      <w:r>
        <w:t xml:space="preserve">minimization or mitigation </w:t>
      </w:r>
      <w:r>
        <w:lastRenderedPageBreak/>
        <w:t>measures for migratory birds</w:t>
      </w:r>
      <w:r w:rsidR="004B5FDD">
        <w:t>.</w:t>
      </w:r>
      <w:r w:rsidR="005917B2">
        <w:t xml:space="preserve"> </w:t>
      </w:r>
      <w:r w:rsidR="004B5FDD">
        <w:t xml:space="preserve">In fact, the </w:t>
      </w:r>
      <w:r w:rsidR="00FD287C">
        <w:t>USFWS</w:t>
      </w:r>
      <w:r w:rsidR="004B5FDD">
        <w:t xml:space="preserve"> issued a guidance memo on April 11, 2018, regarding M-37050, which clarifies that the </w:t>
      </w:r>
      <w:r w:rsidR="00FD287C">
        <w:t>USFWS</w:t>
      </w:r>
      <w:r w:rsidR="004B5FDD">
        <w:t xml:space="preserve"> may not </w:t>
      </w:r>
      <w:r w:rsidR="004B5FDD" w:rsidRPr="004B5FDD">
        <w:t>withhold a permit</w:t>
      </w:r>
      <w:r w:rsidR="003F111F">
        <w:t xml:space="preserve"> or</w:t>
      </w:r>
      <w:r w:rsidR="004B5FDD" w:rsidRPr="004B5FDD">
        <w:t xml:space="preserve"> request or require mitigation based upon incidental take</w:t>
      </w:r>
      <w:r w:rsidR="004B5FDD">
        <w:t xml:space="preserve"> concerns under the MBTA</w:t>
      </w:r>
      <w:r w:rsidR="004B5FDD" w:rsidRPr="004B5FDD">
        <w:t>.</w:t>
      </w:r>
      <w:r w:rsidR="004B5FDD">
        <w:rPr>
          <w:rStyle w:val="FootnoteReference"/>
        </w:rPr>
        <w:footnoteReference w:id="28"/>
      </w:r>
      <w:r w:rsidR="005917B2">
        <w:t xml:space="preserve"> </w:t>
      </w:r>
      <w:r w:rsidR="004B5FDD">
        <w:t>It also confirms that the intent to take migratory birds is the determinative factor</w:t>
      </w:r>
      <w:r w:rsidR="00FD7685">
        <w:t xml:space="preserve"> for liability</w:t>
      </w:r>
      <w:r w:rsidR="004B5FDD">
        <w:t>, not the knowledge that migratory birds will be taken.</w:t>
      </w:r>
      <w:r w:rsidR="00FD7685">
        <w:t xml:space="preserve"> However, the consideration of impacts to migratory birds will still be required in NEPA analyses, which will likely continue to result in some level of migratory bird conservation in actions authorized by federal agencies.</w:t>
      </w:r>
    </w:p>
    <w:p w:rsidR="00320DCB" w:rsidRPr="004B5FDD" w:rsidRDefault="00320DCB" w:rsidP="00320DCB">
      <w:pPr>
        <w:pStyle w:val="BodyText"/>
      </w:pPr>
      <w:r>
        <w:t xml:space="preserve">The reversal of position also has, not surprisingly, resulted in the USFWS no longer pursuing an incidental take permitting program under the MBTA. In May 2015, the USFWS issued a notice of intent to prepare a programmatic environmental impact statement </w:t>
      </w:r>
      <w:r w:rsidR="00CF5E45">
        <w:t xml:space="preserve">(PEIS) </w:t>
      </w:r>
      <w:r>
        <w:t>to evaluate the potential environmental impacts of a proposal to authorize incidental take of migratory birds under the MBTA.</w:t>
      </w:r>
      <w:r>
        <w:rPr>
          <w:rStyle w:val="FootnoteReference"/>
        </w:rPr>
        <w:footnoteReference w:id="29"/>
      </w:r>
      <w:r w:rsidR="00CF5E45">
        <w:t xml:space="preserve"> The USFWS was considering a </w:t>
      </w:r>
      <w:r w:rsidRPr="00CF5E45">
        <w:t>rulemaking to address various</w:t>
      </w:r>
      <w:r w:rsidR="00CF5E45">
        <w:t xml:space="preserve"> </w:t>
      </w:r>
      <w:r w:rsidRPr="00CF5E45">
        <w:t>approaches to regulating incidental take</w:t>
      </w:r>
      <w:r w:rsidR="00CF5E45">
        <w:t xml:space="preserve"> </w:t>
      </w:r>
      <w:r w:rsidRPr="00CF5E45">
        <w:t xml:space="preserve">of migratory birds. </w:t>
      </w:r>
      <w:r w:rsidR="00CF5E45">
        <w:t>It does not appear that the USFWS made much progress on the PEIS or the proposed permit program in the three years since the notice of intent. In May 2018, in light of DOI’s new position on incidental take, as espoused in M</w:t>
      </w:r>
      <w:r w:rsidR="00CF5E45">
        <w:noBreakHyphen/>
        <w:t>37050, the USFWS announced that it is no longer pursuing the PEIS.</w:t>
      </w:r>
      <w:r w:rsidR="00CF5E45">
        <w:rPr>
          <w:rStyle w:val="FootnoteReference"/>
        </w:rPr>
        <w:footnoteReference w:id="30"/>
      </w:r>
      <w:r w:rsidR="00CF5E45">
        <w:t xml:space="preserve"> Thus, if the pendulum swings back the other way in the future (due to successful lawsuits, a change in Administrations, or congressional action), and the scope of liability under the MBTA once again covers </w:t>
      </w:r>
      <w:r w:rsidR="004A2F79">
        <w:t>incidental take, there will still be no mechanism for the USFWS to authorize such take.</w:t>
      </w:r>
    </w:p>
    <w:p w:rsidR="002C4FDE" w:rsidRDefault="002C4FDE" w:rsidP="0016136F">
      <w:pPr>
        <w:pStyle w:val="Heading1"/>
      </w:pPr>
      <w:r w:rsidRPr="007D3924">
        <w:t>Mitigation Policy Revocation</w:t>
      </w:r>
    </w:p>
    <w:p w:rsidR="0052205C" w:rsidRPr="007D3924" w:rsidRDefault="0052205C" w:rsidP="0052205C">
      <w:pPr>
        <w:pStyle w:val="BodyText"/>
      </w:pPr>
      <w:r>
        <w:t>Natural</w:t>
      </w:r>
      <w:r w:rsidR="003F111F">
        <w:t>-</w:t>
      </w:r>
      <w:r>
        <w:t>resources mitigation policy is another area in which the differences between the Obama Administration and the Trump Administration are very stark. The reach (some say “overreach”) of the federal agencies’ mitigation policies under President Obama has been</w:t>
      </w:r>
      <w:r w:rsidR="00FD7685">
        <w:t xml:space="preserve"> significantly</w:t>
      </w:r>
      <w:r w:rsidR="000A4A0C">
        <w:t xml:space="preserve"> </w:t>
      </w:r>
      <w:r>
        <w:t xml:space="preserve">retracted </w:t>
      </w:r>
      <w:r w:rsidR="000A4A0C">
        <w:t>by President Trump.</w:t>
      </w:r>
    </w:p>
    <w:p w:rsidR="00200427" w:rsidRDefault="00922E6C" w:rsidP="00B21625">
      <w:pPr>
        <w:pStyle w:val="BodyText"/>
      </w:pPr>
      <w:r w:rsidRPr="00A74B99">
        <w:rPr>
          <w:b/>
          <w:u w:val="single"/>
        </w:rPr>
        <w:t xml:space="preserve">Obama Administration </w:t>
      </w:r>
      <w:r w:rsidR="00A74B99" w:rsidRPr="00A74B99">
        <w:rPr>
          <w:b/>
          <w:u w:val="single"/>
        </w:rPr>
        <w:t>Mitigation Policy</w:t>
      </w:r>
      <w:r w:rsidR="0059437E">
        <w:t xml:space="preserve">. </w:t>
      </w:r>
      <w:r w:rsidR="005917B2">
        <w:t>From</w:t>
      </w:r>
      <w:r w:rsidR="0059437E">
        <w:t xml:space="preserve"> 2013 </w:t>
      </w:r>
      <w:r w:rsidR="005917B2">
        <w:t xml:space="preserve">to </w:t>
      </w:r>
      <w:r w:rsidR="0059437E">
        <w:t xml:space="preserve">2016, the Obama Administration issued numerous policy directives related to </w:t>
      </w:r>
      <w:r w:rsidR="000C5493">
        <w:t>mitigation</w:t>
      </w:r>
      <w:r w:rsidR="000C5493" w:rsidRPr="000C5493">
        <w:t xml:space="preserve"> </w:t>
      </w:r>
      <w:r w:rsidR="000C5493" w:rsidRPr="00E43AF9">
        <w:t>of impacts to natural resources stemming from the activities</w:t>
      </w:r>
      <w:r w:rsidR="00FD7685">
        <w:t xml:space="preserve"> of federal agencies.</w:t>
      </w:r>
      <w:r w:rsidR="000C5493">
        <w:t xml:space="preserve"> It began with Order 3330 from then-</w:t>
      </w:r>
      <w:r w:rsidR="000C5493" w:rsidRPr="00E43AF9">
        <w:t xml:space="preserve">Secretary </w:t>
      </w:r>
      <w:r w:rsidR="000C5493">
        <w:t xml:space="preserve">of the Interior Sally </w:t>
      </w:r>
      <w:r w:rsidR="000C5493" w:rsidRPr="00E43AF9">
        <w:t>Jewell</w:t>
      </w:r>
      <w:r w:rsidR="000C5493">
        <w:t xml:space="preserve"> in</w:t>
      </w:r>
      <w:r w:rsidR="005917B2">
        <w:t xml:space="preserve"> October</w:t>
      </w:r>
      <w:r w:rsidR="000C5493">
        <w:t xml:space="preserve"> </w:t>
      </w:r>
      <w:r w:rsidR="000C5493" w:rsidRPr="00E43AF9">
        <w:t>2013</w:t>
      </w:r>
      <w:r w:rsidR="000C5493">
        <w:t xml:space="preserve"> </w:t>
      </w:r>
      <w:r w:rsidR="003F111F">
        <w:t>regarding</w:t>
      </w:r>
      <w:r w:rsidR="000C5493">
        <w:t xml:space="preserve"> “</w:t>
      </w:r>
      <w:r w:rsidR="000C5493" w:rsidRPr="003F111F">
        <w:rPr>
          <w:i/>
        </w:rPr>
        <w:t>Improving Mitigation Policies and Practices of the Department of the Interior</w:t>
      </w:r>
      <w:r w:rsidR="000C5493">
        <w:t xml:space="preserve">.” </w:t>
      </w:r>
      <w:r w:rsidR="000C5493" w:rsidRPr="005917B2">
        <w:t xml:space="preserve">That </w:t>
      </w:r>
      <w:r w:rsidR="00200427">
        <w:t>Secretary’s</w:t>
      </w:r>
      <w:r w:rsidR="000C5493" w:rsidRPr="005917B2">
        <w:t xml:space="preserve"> Order </w:t>
      </w:r>
      <w:r w:rsidR="005917B2" w:rsidRPr="005917B2">
        <w:t>outlined a mitigation strategy that included the following components: “(1) the use of a landscape-scale approach to identify and facilitate investment in key conservation priorities in a region; (2) early integration of mitigation considerations in project planning and design; (3) ensuring the durability of mitigation measures over time; (4) ensuring transparency and consistency in mitigation decisions; and (5) a focus on mitigation efforts that improve the resilience of our Nation</w:t>
      </w:r>
      <w:r w:rsidR="003F111F">
        <w:t>’</w:t>
      </w:r>
      <w:r w:rsidR="005917B2" w:rsidRPr="005917B2">
        <w:t>s resources in the face of climate change.</w:t>
      </w:r>
      <w:r w:rsidR="005917B2">
        <w:t>”</w:t>
      </w:r>
      <w:r w:rsidR="005917B2">
        <w:rPr>
          <w:rStyle w:val="FootnoteReference"/>
        </w:rPr>
        <w:footnoteReference w:id="31"/>
      </w:r>
      <w:r w:rsidR="005917B2">
        <w:t xml:space="preserve"> </w:t>
      </w:r>
    </w:p>
    <w:p w:rsidR="000C5493" w:rsidRPr="00F42333" w:rsidRDefault="005917B2" w:rsidP="00B21625">
      <w:pPr>
        <w:pStyle w:val="BodyText"/>
      </w:pPr>
      <w:r>
        <w:lastRenderedPageBreak/>
        <w:t xml:space="preserve">Order 3330 also </w:t>
      </w:r>
      <w:r w:rsidR="000C5493">
        <w:t xml:space="preserve">directed DOI’s </w:t>
      </w:r>
      <w:r w:rsidR="000C5493" w:rsidRPr="000C5493">
        <w:t xml:space="preserve">Energy and Climate Change Task Force </w:t>
      </w:r>
      <w:r w:rsidR="000C5493">
        <w:t xml:space="preserve">to </w:t>
      </w:r>
      <w:r w:rsidR="000C5493" w:rsidRPr="000C5493">
        <w:t>develop</w:t>
      </w:r>
      <w:r w:rsidR="000C5493">
        <w:t xml:space="preserve"> </w:t>
      </w:r>
      <w:r w:rsidR="000C5493" w:rsidRPr="000C5493">
        <w:t>a coordinated Department-wide, science-based strategy to strengthen mitigation pract</w:t>
      </w:r>
      <w:r>
        <w:t>ice and issue a report regarding those efforts within 90 days</w:t>
      </w:r>
      <w:r w:rsidR="000C5493" w:rsidRPr="000C5493">
        <w:t>.</w:t>
      </w:r>
      <w:r w:rsidR="000C5493">
        <w:t xml:space="preserve"> </w:t>
      </w:r>
      <w:r>
        <w:t xml:space="preserve">Based on that direction, DOI issued a </w:t>
      </w:r>
      <w:r w:rsidR="000C5493">
        <w:t xml:space="preserve">report in </w:t>
      </w:r>
      <w:r>
        <w:t xml:space="preserve">April </w:t>
      </w:r>
      <w:r w:rsidR="000C5493">
        <w:t>2014</w:t>
      </w:r>
      <w:r>
        <w:t>,</w:t>
      </w:r>
      <w:r w:rsidR="000C5493">
        <w:t xml:space="preserve"> </w:t>
      </w:r>
      <w:r w:rsidR="000C5493" w:rsidRPr="00E43AF9">
        <w:t xml:space="preserve">titled </w:t>
      </w:r>
      <w:r w:rsidR="003F111F">
        <w:t>“</w:t>
      </w:r>
      <w:r w:rsidR="000C5493" w:rsidRPr="000C5493">
        <w:rPr>
          <w:i/>
        </w:rPr>
        <w:t>A Strategy for Improving the Mitigation Policies and Practices of The Department of the Interior</w:t>
      </w:r>
      <w:r>
        <w:t>,</w:t>
      </w:r>
      <w:r w:rsidR="003F111F">
        <w:t>”</w:t>
      </w:r>
      <w:r>
        <w:t xml:space="preserve"> which expanded on the elements of the strategy outlined in Order 3330</w:t>
      </w:r>
      <w:r w:rsidR="000C5493" w:rsidRPr="00E43AF9">
        <w:rPr>
          <w:i/>
        </w:rPr>
        <w:t>.</w:t>
      </w:r>
      <w:r w:rsidR="00F42333" w:rsidRPr="00F42333">
        <w:rPr>
          <w:rStyle w:val="FootnoteReference"/>
        </w:rPr>
        <w:footnoteReference w:id="32"/>
      </w:r>
    </w:p>
    <w:p w:rsidR="00E33C58" w:rsidRDefault="0059437E" w:rsidP="00B21625">
      <w:pPr>
        <w:pStyle w:val="BodyText"/>
      </w:pPr>
      <w:r w:rsidRPr="00E43AF9">
        <w:t>On November 3</w:t>
      </w:r>
      <w:r w:rsidR="005917B2">
        <w:t>, 2015</w:t>
      </w:r>
      <w:r w:rsidRPr="00E43AF9">
        <w:t xml:space="preserve">, President Obama issued a </w:t>
      </w:r>
      <w:r w:rsidR="005917B2">
        <w:t>Presidential M</w:t>
      </w:r>
      <w:r w:rsidRPr="005917B2">
        <w:t>emorandum</w:t>
      </w:r>
      <w:r w:rsidRPr="00E43AF9">
        <w:t xml:space="preserve"> </w:t>
      </w:r>
      <w:r w:rsidR="005917B2">
        <w:t xml:space="preserve">regarding </w:t>
      </w:r>
      <w:r w:rsidR="003F111F">
        <w:t>“</w:t>
      </w:r>
      <w:r w:rsidR="005917B2" w:rsidRPr="005917B2">
        <w:rPr>
          <w:i/>
        </w:rPr>
        <w:t>Mitigating Impacts on Natural Resources from Development and Encouraging Related Private Investment</w:t>
      </w:r>
      <w:r w:rsidR="005917B2">
        <w:t>.</w:t>
      </w:r>
      <w:r w:rsidR="003F111F">
        <w:t>”</w:t>
      </w:r>
      <w:r w:rsidR="00F42333">
        <w:rPr>
          <w:rStyle w:val="FootnoteReference"/>
        </w:rPr>
        <w:footnoteReference w:id="33"/>
      </w:r>
      <w:r w:rsidR="00F42333">
        <w:t xml:space="preserve"> </w:t>
      </w:r>
      <w:r w:rsidR="00E33C58">
        <w:t>This memo required</w:t>
      </w:r>
      <w:r w:rsidR="00E33C58" w:rsidRPr="00E43AF9">
        <w:t xml:space="preserve"> </w:t>
      </w:r>
      <w:r w:rsidR="00E33C58">
        <w:t xml:space="preserve">specific federal agencies, including DOI, to </w:t>
      </w:r>
      <w:r w:rsidR="00E33C58" w:rsidRPr="00E43AF9">
        <w:t>set a “net benefit goal or, at a minimum, a no net loss goal” for natural resources that are “important, scarce or sensitive, or wherever doing so is consistent with agency mission and established natural resource objectives.”</w:t>
      </w:r>
      <w:r w:rsidR="00E33C58" w:rsidRPr="00E43AF9">
        <w:rPr>
          <w:rStyle w:val="FootnoteReference"/>
        </w:rPr>
        <w:footnoteReference w:id="34"/>
      </w:r>
      <w:r w:rsidR="00E33C58">
        <w:t xml:space="preserve"> The Presidential Memorandum also stated that i</w:t>
      </w:r>
      <w:r w:rsidR="00E33C58" w:rsidRPr="00E43AF9">
        <w:t>f a particular resource is irreplaceable, impacts should be avoided altogether.</w:t>
      </w:r>
      <w:r w:rsidR="00E33C58" w:rsidRPr="00E43AF9">
        <w:rPr>
          <w:rStyle w:val="FootnoteReference"/>
        </w:rPr>
        <w:footnoteReference w:id="35"/>
      </w:r>
      <w:r w:rsidR="00240695">
        <w:t xml:space="preserve"> </w:t>
      </w:r>
      <w:r w:rsidR="00E33C58">
        <w:t xml:space="preserve">It also directed the </w:t>
      </w:r>
      <w:r w:rsidR="00FD287C">
        <w:t>USFWS</w:t>
      </w:r>
      <w:r w:rsidR="00E33C58">
        <w:t xml:space="preserve">, the Forest Service, and the Bureau of Land Management </w:t>
      </w:r>
      <w:r w:rsidR="00BF1673">
        <w:t xml:space="preserve">(BLM) </w:t>
      </w:r>
      <w:r w:rsidR="00E33C58">
        <w:t>to issue new mitigation policies within a specified period.</w:t>
      </w:r>
    </w:p>
    <w:p w:rsidR="0059437E" w:rsidRPr="00E43AF9" w:rsidRDefault="00E02D67" w:rsidP="00B21625">
      <w:pPr>
        <w:pStyle w:val="BodyText"/>
        <w:rPr>
          <w:b/>
          <w:u w:val="single"/>
        </w:rPr>
      </w:pPr>
      <w:r>
        <w:t>In conjunction with the</w:t>
      </w:r>
      <w:r w:rsidR="0059437E" w:rsidRPr="00E43AF9">
        <w:t xml:space="preserve"> President’s action, </w:t>
      </w:r>
      <w:r w:rsidR="00E33C58">
        <w:t xml:space="preserve">DOI </w:t>
      </w:r>
      <w:r w:rsidR="0059437E" w:rsidRPr="00E43AF9">
        <w:t xml:space="preserve">issued a </w:t>
      </w:r>
      <w:r w:rsidR="0059437E" w:rsidRPr="00E33C58">
        <w:t>new Departmental Manual section</w:t>
      </w:r>
      <w:r w:rsidR="0059437E" w:rsidRPr="00E43AF9">
        <w:t xml:space="preserve"> on the implementation of landscape-scale mitigation, which direct</w:t>
      </w:r>
      <w:r w:rsidR="00E33C58">
        <w:t>ed</w:t>
      </w:r>
      <w:r w:rsidR="0059437E" w:rsidRPr="00E43AF9">
        <w:t xml:space="preserve"> agency officials to use compensatory mitigation to offset impacts to public lands and to tailor mitigation actions to anticipate and address the impacts of climate change.</w:t>
      </w:r>
      <w:r w:rsidR="00E33C58">
        <w:rPr>
          <w:rStyle w:val="FootnoteReference"/>
        </w:rPr>
        <w:footnoteReference w:id="36"/>
      </w:r>
      <w:r w:rsidR="0059437E" w:rsidRPr="00E43AF9">
        <w:t xml:space="preserve"> </w:t>
      </w:r>
      <w:r w:rsidR="00E33C58" w:rsidRPr="00E33C58">
        <w:t xml:space="preserve">The DOI </w:t>
      </w:r>
      <w:r w:rsidR="00E33C58">
        <w:t>manual section</w:t>
      </w:r>
      <w:r w:rsidR="00E33C58" w:rsidRPr="00E33C58">
        <w:t xml:space="preserve"> parallel</w:t>
      </w:r>
      <w:r w:rsidR="00E33C58">
        <w:t>ed</w:t>
      </w:r>
      <w:r w:rsidR="00E33C58" w:rsidRPr="00E33C58">
        <w:t xml:space="preserve"> the Presidential Memorandum policy in most respects and add</w:t>
      </w:r>
      <w:r w:rsidR="00E33C58">
        <w:t>ed</w:t>
      </w:r>
      <w:r w:rsidR="00E33C58" w:rsidRPr="00E33C58">
        <w:t xml:space="preserve"> additional instructions to </w:t>
      </w:r>
      <w:r w:rsidR="00E33C58">
        <w:t xml:space="preserve">DOI’s </w:t>
      </w:r>
      <w:r w:rsidR="00E33C58" w:rsidRPr="00E33C58">
        <w:t>bureaus and offices relating to landscape-scale approaches to mitigation and mitigation in the context of a changing climate.</w:t>
      </w:r>
    </w:p>
    <w:p w:rsidR="00A74B99" w:rsidRDefault="00E02D67" w:rsidP="00B21625">
      <w:pPr>
        <w:pStyle w:val="BodyText"/>
      </w:pPr>
      <w:r w:rsidRPr="00BF1673">
        <w:t xml:space="preserve">Following the direction of the Presidential Memorandum, the </w:t>
      </w:r>
      <w:r w:rsidR="00FD287C">
        <w:t>USFWS</w:t>
      </w:r>
      <w:r w:rsidRPr="00BF1673">
        <w:t xml:space="preserve"> issued its mitigation policy in November 2016,</w:t>
      </w:r>
      <w:r w:rsidRPr="00BF1673">
        <w:rPr>
          <w:rStyle w:val="FootnoteReference"/>
          <w:sz w:val="24"/>
        </w:rPr>
        <w:footnoteReference w:id="37"/>
      </w:r>
      <w:r w:rsidRPr="00BF1673">
        <w:t xml:space="preserve"> followed by a compensatory mitigation policy specific to the Endangered Species Act </w:t>
      </w:r>
      <w:r w:rsidR="0089724F">
        <w:t xml:space="preserve">(ESA) </w:t>
      </w:r>
      <w:r w:rsidRPr="00BF1673">
        <w:t>in December 2016.</w:t>
      </w:r>
      <w:r w:rsidRPr="00BF1673">
        <w:rPr>
          <w:rStyle w:val="FootnoteReference"/>
          <w:sz w:val="24"/>
        </w:rPr>
        <w:footnoteReference w:id="38"/>
      </w:r>
      <w:r w:rsidRPr="00BF1673">
        <w:t xml:space="preserve"> </w:t>
      </w:r>
      <w:r w:rsidR="00BF1673" w:rsidRPr="00BF1673">
        <w:t xml:space="preserve">Both of these policies </w:t>
      </w:r>
      <w:r w:rsidR="00BF1673">
        <w:t>embraced</w:t>
      </w:r>
      <w:r w:rsidR="00BF1673" w:rsidRPr="00BF1673">
        <w:t xml:space="preserve"> the </w:t>
      </w:r>
      <w:r w:rsidR="00BF1673" w:rsidRPr="00BF1673">
        <w:rPr>
          <w:rFonts w:cs="Melior"/>
        </w:rPr>
        <w:t>landsca</w:t>
      </w:r>
      <w:r w:rsidR="00BF1673">
        <w:rPr>
          <w:rFonts w:cs="Melior"/>
        </w:rPr>
        <w:t>pe-</w:t>
      </w:r>
      <w:r w:rsidR="00BF1673" w:rsidRPr="00BF1673">
        <w:rPr>
          <w:rFonts w:cs="Melior"/>
        </w:rPr>
        <w:t xml:space="preserve">scale approach </w:t>
      </w:r>
      <w:r w:rsidR="00BF1673">
        <w:rPr>
          <w:rFonts w:cs="Melior"/>
        </w:rPr>
        <w:t xml:space="preserve">to mitigation </w:t>
      </w:r>
      <w:r w:rsidR="00BF1673" w:rsidRPr="00BF1673">
        <w:rPr>
          <w:rFonts w:cs="Melior"/>
        </w:rPr>
        <w:t>and the goal</w:t>
      </w:r>
      <w:r w:rsidR="00BF1673">
        <w:rPr>
          <w:rFonts w:cs="Melior"/>
        </w:rPr>
        <w:t xml:space="preserve"> </w:t>
      </w:r>
      <w:r w:rsidR="00BF1673" w:rsidRPr="00BF1673">
        <w:rPr>
          <w:rFonts w:cs="Melior"/>
        </w:rPr>
        <w:t xml:space="preserve">of ‘‘net </w:t>
      </w:r>
      <w:r w:rsidR="00BF1673">
        <w:rPr>
          <w:rFonts w:cs="Melior"/>
        </w:rPr>
        <w:t xml:space="preserve">conservation </w:t>
      </w:r>
      <w:r w:rsidR="00BF1673" w:rsidRPr="00BF1673">
        <w:rPr>
          <w:rFonts w:cs="Melior"/>
        </w:rPr>
        <w:t>gain</w:t>
      </w:r>
      <w:r w:rsidR="00BF1673">
        <w:rPr>
          <w:rFonts w:cs="Melior"/>
        </w:rPr>
        <w:t>.</w:t>
      </w:r>
      <w:r w:rsidR="00BF1673" w:rsidRPr="00BF1673">
        <w:rPr>
          <w:rFonts w:cs="Melior"/>
        </w:rPr>
        <w:t>’’</w:t>
      </w:r>
      <w:r w:rsidR="00BF1673">
        <w:rPr>
          <w:rFonts w:cs="Melior"/>
        </w:rPr>
        <w:t xml:space="preserve"> </w:t>
      </w:r>
      <w:r w:rsidR="00BF1673">
        <w:t xml:space="preserve">In </w:t>
      </w:r>
      <w:r w:rsidR="00BF1673" w:rsidRPr="00BF1673">
        <w:t>December 2016,</w:t>
      </w:r>
      <w:r w:rsidR="00BF1673">
        <w:rPr>
          <w:rFonts w:cs="Melior"/>
        </w:rPr>
        <w:t xml:space="preserve"> BLM likewise</w:t>
      </w:r>
      <w:r w:rsidR="00BF1673">
        <w:rPr>
          <w:rFonts w:ascii="Calibri-Light" w:hAnsi="Calibri-Light" w:cs="Calibri-Light"/>
          <w:color w:val="0A0A0A"/>
        </w:rPr>
        <w:t xml:space="preserve"> </w:t>
      </w:r>
      <w:r w:rsidR="00BF1673" w:rsidRPr="00BF1673">
        <w:t xml:space="preserve">released </w:t>
      </w:r>
      <w:r w:rsidR="00BF1673">
        <w:t xml:space="preserve">a manual section </w:t>
      </w:r>
      <w:r w:rsidR="00BF1673" w:rsidRPr="00BF1673">
        <w:t xml:space="preserve">and </w:t>
      </w:r>
      <w:r w:rsidR="00BF1673">
        <w:t xml:space="preserve">a handbook </w:t>
      </w:r>
      <w:r w:rsidR="00BF1673" w:rsidRPr="00BF1673">
        <w:t>that provide</w:t>
      </w:r>
      <w:r w:rsidR="00BF1673">
        <w:t>d</w:t>
      </w:r>
      <w:r w:rsidR="00BF1673" w:rsidRPr="00BF1673">
        <w:t xml:space="preserve"> policy guidance to implement DOI’s Mitigation Policy</w:t>
      </w:r>
      <w:r w:rsidR="00BF1673">
        <w:t xml:space="preserve"> and echoed the themes of landscape-scale mitigation</w:t>
      </w:r>
      <w:r w:rsidR="00A74B99">
        <w:t xml:space="preserve"> and</w:t>
      </w:r>
      <w:r w:rsidR="00BF1673">
        <w:t xml:space="preserve"> net conservation gain (or at a minimum, no net loss)</w:t>
      </w:r>
      <w:r w:rsidR="00BF1673" w:rsidRPr="00BF1673">
        <w:t>.</w:t>
      </w:r>
      <w:r w:rsidR="00BF1673">
        <w:rPr>
          <w:rStyle w:val="FootnoteReference"/>
        </w:rPr>
        <w:footnoteReference w:id="39"/>
      </w:r>
      <w:r w:rsidR="00A74B99">
        <w:t xml:space="preserve"> These policy documents were accompanied by an opinion from the Solicitor of the Interior, </w:t>
      </w:r>
      <w:r w:rsidR="00A74B99" w:rsidRPr="00A74B99">
        <w:lastRenderedPageBreak/>
        <w:t>M-37039</w:t>
      </w:r>
      <w:r w:rsidR="00A74B99">
        <w:t xml:space="preserve">, which </w:t>
      </w:r>
      <w:r w:rsidR="00A74B99" w:rsidRPr="00A74B99">
        <w:t>addressed BLM’s authority under the Federal Land Policy and Management Act to require</w:t>
      </w:r>
      <w:r w:rsidR="00A74B99">
        <w:t xml:space="preserve"> </w:t>
      </w:r>
      <w:r w:rsidR="00A74B99" w:rsidRPr="00A74B99">
        <w:t xml:space="preserve">mitigation when </w:t>
      </w:r>
      <w:r w:rsidR="00A74B99">
        <w:t xml:space="preserve">issuing various authorizations for </w:t>
      </w:r>
      <w:r w:rsidR="00A74B99" w:rsidRPr="00A74B99">
        <w:t>use of the public lands</w:t>
      </w:r>
      <w:r w:rsidR="00A74B99">
        <w:t>.</w:t>
      </w:r>
      <w:r w:rsidR="007D3924">
        <w:rPr>
          <w:rStyle w:val="FootnoteReference"/>
        </w:rPr>
        <w:footnoteReference w:id="40"/>
      </w:r>
    </w:p>
    <w:p w:rsidR="00200427" w:rsidRDefault="00C33D7D" w:rsidP="00FD287C">
      <w:pPr>
        <w:pStyle w:val="BodyText"/>
      </w:pPr>
      <w:r w:rsidRPr="007D3924">
        <w:rPr>
          <w:b/>
          <w:u w:val="single"/>
        </w:rPr>
        <w:t xml:space="preserve">Trump Administration </w:t>
      </w:r>
      <w:r w:rsidR="00A74B99" w:rsidRPr="007D3924">
        <w:rPr>
          <w:b/>
          <w:u w:val="single"/>
        </w:rPr>
        <w:t xml:space="preserve">Withdrawal </w:t>
      </w:r>
      <w:r w:rsidRPr="007D3924">
        <w:rPr>
          <w:b/>
          <w:u w:val="single"/>
        </w:rPr>
        <w:t>Actions</w:t>
      </w:r>
      <w:r w:rsidR="00A74B99" w:rsidRPr="00B21625">
        <w:t>.</w:t>
      </w:r>
      <w:r w:rsidR="007D3924">
        <w:t xml:space="preserve"> The Trump Administration’s actions to dismantle the Obama Administration’s mitigation policy were swift </w:t>
      </w:r>
      <w:r w:rsidR="00240695">
        <w:t xml:space="preserve">and decisive. </w:t>
      </w:r>
      <w:r w:rsidR="007D3924">
        <w:t xml:space="preserve">On </w:t>
      </w:r>
      <w:r>
        <w:t>March 28, 2017</w:t>
      </w:r>
      <w:r w:rsidR="007D3924">
        <w:t xml:space="preserve">, President Trump issued </w:t>
      </w:r>
      <w:r w:rsidRPr="00C33D7D">
        <w:t xml:space="preserve">Executive Order 13783, </w:t>
      </w:r>
      <w:r>
        <w:t>“</w:t>
      </w:r>
      <w:r w:rsidRPr="003F111F">
        <w:rPr>
          <w:i/>
        </w:rPr>
        <w:t>Promoting Energy Independence and Economic Growth</w:t>
      </w:r>
      <w:r w:rsidR="00200427">
        <w:t>,</w:t>
      </w:r>
      <w:r>
        <w:t xml:space="preserve">” </w:t>
      </w:r>
      <w:r w:rsidR="00200427">
        <w:t xml:space="preserve">which, among other things, </w:t>
      </w:r>
      <w:r>
        <w:t>revoke</w:t>
      </w:r>
      <w:r w:rsidR="003F111F">
        <w:t>d</w:t>
      </w:r>
      <w:r>
        <w:t xml:space="preserve"> </w:t>
      </w:r>
      <w:r w:rsidR="00200427">
        <w:t xml:space="preserve">the </w:t>
      </w:r>
      <w:r>
        <w:t>Nov</w:t>
      </w:r>
      <w:r w:rsidR="00200427">
        <w:t>ember</w:t>
      </w:r>
      <w:r>
        <w:t xml:space="preserve"> 3</w:t>
      </w:r>
      <w:r w:rsidR="00200427">
        <w:t>, 2015</w:t>
      </w:r>
      <w:r>
        <w:t xml:space="preserve"> Presidential Memorandum</w:t>
      </w:r>
      <w:r w:rsidR="00200427">
        <w:t>.</w:t>
      </w:r>
      <w:r w:rsidR="00F42333">
        <w:rPr>
          <w:rStyle w:val="FootnoteReference"/>
        </w:rPr>
        <w:footnoteReference w:id="41"/>
      </w:r>
      <w:r w:rsidR="00200427">
        <w:t xml:space="preserve"> </w:t>
      </w:r>
      <w:r w:rsidR="00200427" w:rsidRPr="00200427">
        <w:t xml:space="preserve">That Executive Order also directed all agencies to identify </w:t>
      </w:r>
      <w:r w:rsidR="00200427">
        <w:t xml:space="preserve">agency actions </w:t>
      </w:r>
      <w:r w:rsidR="00200427" w:rsidRPr="00200427">
        <w:t xml:space="preserve">arising from the </w:t>
      </w:r>
      <w:r w:rsidR="00200427">
        <w:t xml:space="preserve">November 3 Presidential </w:t>
      </w:r>
      <w:r w:rsidR="00200427" w:rsidRPr="00200427">
        <w:t>Memorandum and, as appropriate</w:t>
      </w:r>
      <w:r w:rsidR="00200427">
        <w:t xml:space="preserve"> and as soon as practicable</w:t>
      </w:r>
      <w:r w:rsidR="00200427" w:rsidRPr="00200427">
        <w:t>,</w:t>
      </w:r>
      <w:r w:rsidR="00200427">
        <w:t xml:space="preserve"> </w:t>
      </w:r>
      <w:r w:rsidR="00200427">
        <w:rPr>
          <w:szCs w:val="22"/>
        </w:rPr>
        <w:t>suspend, revise, or rescind, or publish for notice and comment proposed rules suspending, revising, or rescinding any such actions.</w:t>
      </w:r>
      <w:r w:rsidR="00200427">
        <w:rPr>
          <w:rStyle w:val="FootnoteReference"/>
          <w:szCs w:val="22"/>
        </w:rPr>
        <w:footnoteReference w:id="42"/>
      </w:r>
      <w:r w:rsidR="00200427">
        <w:rPr>
          <w:szCs w:val="22"/>
        </w:rPr>
        <w:t xml:space="preserve"> </w:t>
      </w:r>
      <w:r w:rsidR="00200427" w:rsidRPr="00200427">
        <w:t xml:space="preserve"> </w:t>
      </w:r>
    </w:p>
    <w:p w:rsidR="00C22161" w:rsidRDefault="00200427" w:rsidP="00C22161">
      <w:pPr>
        <w:pStyle w:val="BodyText"/>
      </w:pPr>
      <w:r>
        <w:t>Likewise, o</w:t>
      </w:r>
      <w:r w:rsidRPr="00200427">
        <w:t xml:space="preserve">n </w:t>
      </w:r>
      <w:r w:rsidR="00C33D7D" w:rsidRPr="00200427">
        <w:t>March 29, 2017</w:t>
      </w:r>
      <w:r w:rsidRPr="00200427">
        <w:t>, Secretary Zinke issued</w:t>
      </w:r>
      <w:r w:rsidR="00C33D7D" w:rsidRPr="00200427">
        <w:t xml:space="preserve"> Secretary’s Order 3349, “</w:t>
      </w:r>
      <w:r w:rsidR="00C33D7D" w:rsidRPr="003F111F">
        <w:rPr>
          <w:i/>
        </w:rPr>
        <w:t>American Energy Independence</w:t>
      </w:r>
      <w:r w:rsidRPr="00200427">
        <w:t>,</w:t>
      </w:r>
      <w:r w:rsidR="00C33D7D" w:rsidRPr="00200427">
        <w:t xml:space="preserve">” </w:t>
      </w:r>
      <w:r w:rsidRPr="00200427">
        <w:t>which revoked</w:t>
      </w:r>
      <w:r w:rsidR="00C33D7D" w:rsidRPr="00200427">
        <w:t xml:space="preserve"> Secretary’s Order 3330 and direct</w:t>
      </w:r>
      <w:r>
        <w:t>ed</w:t>
      </w:r>
      <w:r w:rsidR="00C33D7D" w:rsidRPr="00200427">
        <w:t xml:space="preserve"> that all actions taken pursuant to O</w:t>
      </w:r>
      <w:r>
        <w:t>rder 33</w:t>
      </w:r>
      <w:r w:rsidR="00C33D7D" w:rsidRPr="00200427">
        <w:t>30 be</w:t>
      </w:r>
      <w:r w:rsidR="00C33D7D">
        <w:t xml:space="preserve"> reviewed</w:t>
      </w:r>
      <w:r w:rsidR="00C33D7D" w:rsidRPr="00C33D7D">
        <w:t xml:space="preserve"> for possible reconsideration,</w:t>
      </w:r>
      <w:r w:rsidR="00C33D7D">
        <w:t xml:space="preserve"> </w:t>
      </w:r>
      <w:r w:rsidR="00C33D7D" w:rsidRPr="00C33D7D">
        <w:t>modification</w:t>
      </w:r>
      <w:r>
        <w:t xml:space="preserve">, or rescission, as appropriate. </w:t>
      </w:r>
      <w:r w:rsidR="00C22161">
        <w:t xml:space="preserve">In response, the </w:t>
      </w:r>
      <w:r w:rsidR="00FD287C">
        <w:t>USFWS</w:t>
      </w:r>
      <w:r w:rsidR="00C22161">
        <w:t xml:space="preserve"> issued a notice in the Federal Register requesting </w:t>
      </w:r>
      <w:r w:rsidR="00C22161" w:rsidRPr="00C22161">
        <w:t>public comment on portions</w:t>
      </w:r>
      <w:r w:rsidR="00C22161">
        <w:t xml:space="preserve"> </w:t>
      </w:r>
      <w:r w:rsidR="00C22161" w:rsidRPr="00C22161">
        <w:t xml:space="preserve">of </w:t>
      </w:r>
      <w:r w:rsidR="00C22161">
        <w:t xml:space="preserve">the agency’s </w:t>
      </w:r>
      <w:r w:rsidR="00C22161" w:rsidRPr="00C22161">
        <w:t>Mitigation Policy and</w:t>
      </w:r>
      <w:r w:rsidR="00C22161">
        <w:t xml:space="preserve"> </w:t>
      </w:r>
      <w:r w:rsidR="0089724F">
        <w:t xml:space="preserve">ESA </w:t>
      </w:r>
      <w:r w:rsidR="00C22161" w:rsidRPr="00C22161">
        <w:t>Compensatory</w:t>
      </w:r>
      <w:r w:rsidR="00C22161">
        <w:t xml:space="preserve"> </w:t>
      </w:r>
      <w:r w:rsidR="00C22161" w:rsidRPr="00C22161">
        <w:t>Mitigation Policy</w:t>
      </w:r>
      <w:r w:rsidR="00C22161">
        <w:t>.</w:t>
      </w:r>
      <w:r w:rsidR="00C22161">
        <w:rPr>
          <w:rStyle w:val="FootnoteReference"/>
        </w:rPr>
        <w:footnoteReference w:id="43"/>
      </w:r>
      <w:r w:rsidR="00C22161">
        <w:t xml:space="preserve"> </w:t>
      </w:r>
      <w:r w:rsidR="0033499E">
        <w:t>After considering the public comments, on July 30, 2018, t</w:t>
      </w:r>
      <w:r w:rsidR="00C22161">
        <w:t xml:space="preserve">he </w:t>
      </w:r>
      <w:r w:rsidR="00FD287C">
        <w:t>USFWS</w:t>
      </w:r>
      <w:r w:rsidR="00C22161">
        <w:t xml:space="preserve"> </w:t>
      </w:r>
      <w:r w:rsidR="0033499E">
        <w:t>issued notices withdrawing both policies.</w:t>
      </w:r>
      <w:r w:rsidR="0033499E">
        <w:rPr>
          <w:rStyle w:val="FootnoteReference"/>
        </w:rPr>
        <w:footnoteReference w:id="44"/>
      </w:r>
      <w:r w:rsidR="00F42333">
        <w:t xml:space="preserve"> Acting Solicitor Jorjani also issued a Solicitor’s Opinion, M-37046, withdrawing Opinion </w:t>
      </w:r>
      <w:r w:rsidR="00F42333" w:rsidRPr="00A74B99">
        <w:t>M-37039</w:t>
      </w:r>
      <w:r w:rsidR="00F42333">
        <w:t xml:space="preserve"> regarding </w:t>
      </w:r>
      <w:r w:rsidR="00F42333" w:rsidRPr="00A74B99">
        <w:t xml:space="preserve">BLM’s </w:t>
      </w:r>
      <w:r w:rsidR="00F42333">
        <w:t xml:space="preserve">mitigation </w:t>
      </w:r>
      <w:r w:rsidR="00F42333" w:rsidRPr="00A74B99">
        <w:t>authority</w:t>
      </w:r>
      <w:r w:rsidR="00F42333">
        <w:t>.</w:t>
      </w:r>
      <w:r w:rsidR="00F42333">
        <w:rPr>
          <w:rStyle w:val="FootnoteReference"/>
        </w:rPr>
        <w:footnoteReference w:id="45"/>
      </w:r>
    </w:p>
    <w:p w:rsidR="00240695" w:rsidRDefault="00240695" w:rsidP="00240695">
      <w:pPr>
        <w:pStyle w:val="BodyText"/>
      </w:pPr>
      <w:r w:rsidRPr="00240695">
        <w:t>On December 22, 2017, Secretary Zinke issued Order 3360, “</w:t>
      </w:r>
      <w:r w:rsidRPr="003F111F">
        <w:rPr>
          <w:i/>
        </w:rPr>
        <w:t>Rescinding Authorities Inconsistent with Secretary's Order 3349, ‘American Energy Independence,’</w:t>
      </w:r>
      <w:r w:rsidRPr="00240695">
        <w:t xml:space="preserve">” which </w:t>
      </w:r>
      <w:r>
        <w:t xml:space="preserve">represented the next step </w:t>
      </w:r>
      <w:r w:rsidRPr="00240695">
        <w:t xml:space="preserve">in implementing </w:t>
      </w:r>
      <w:r>
        <w:t>Executive Order 13</w:t>
      </w:r>
      <w:r w:rsidRPr="00240695">
        <w:t>783 and</w:t>
      </w:r>
      <w:r>
        <w:t xml:space="preserve"> Secretary’s Order </w:t>
      </w:r>
      <w:r w:rsidRPr="00240695">
        <w:t>3349</w:t>
      </w:r>
      <w:r>
        <w:t xml:space="preserve">. Order 3360 </w:t>
      </w:r>
      <w:r w:rsidRPr="00240695">
        <w:t>rescinded, among other things, (1) the October 23, 2015 Departmental Manual Part 600, Chapter 6: Landscape-Scale Mitigation Policy</w:t>
      </w:r>
      <w:r>
        <w:t xml:space="preserve"> (2) the December 22, 2016 BLM m</w:t>
      </w:r>
      <w:r w:rsidRPr="00240695">
        <w:t xml:space="preserve">anual </w:t>
      </w:r>
      <w:r>
        <w:t>s</w:t>
      </w:r>
      <w:r w:rsidRPr="00240695">
        <w:t xml:space="preserve">ection </w:t>
      </w:r>
      <w:r>
        <w:t>on m</w:t>
      </w:r>
      <w:r w:rsidRPr="00240695">
        <w:t>itigation</w:t>
      </w:r>
      <w:r>
        <w:t>; and (3) the December 22, 2016 BLM Mitigation Handbook. More recently, BLM issued an Instruction Memorandum, IM 2018-093, which expressly prohibits BLM from requiring compensatory mitigation as a condition of any agency authorization and, even when a project proponent voluntarily offers compensatory mitigation, forbids BLM from accepting monetary payment for such mitigation.</w:t>
      </w:r>
    </w:p>
    <w:p w:rsidR="00FD287C" w:rsidRPr="00FD287C" w:rsidRDefault="00FD287C" w:rsidP="00FD287C">
      <w:pPr>
        <w:pStyle w:val="BodyText"/>
      </w:pPr>
      <w:r w:rsidRPr="00FD287C">
        <w:rPr>
          <w:b/>
          <w:u w:val="single"/>
        </w:rPr>
        <w:t>Practical Implications</w:t>
      </w:r>
      <w:r>
        <w:t xml:space="preserve">. It remains to be seen how this complete about-face on federal mitigation policies will play out. For the most part, </w:t>
      </w:r>
      <w:r w:rsidRPr="00FD287C">
        <w:t>the outc</w:t>
      </w:r>
      <w:r>
        <w:t>ome of the Trump Administration’</w:t>
      </w:r>
      <w:r w:rsidRPr="00FD287C">
        <w:t>s actions</w:t>
      </w:r>
      <w:r>
        <w:t xml:space="preserve"> </w:t>
      </w:r>
      <w:r w:rsidRPr="00FD287C">
        <w:t xml:space="preserve">to nullify the </w:t>
      </w:r>
      <w:r>
        <w:t>Obama Administration’</w:t>
      </w:r>
      <w:r w:rsidRPr="00FD287C">
        <w:t>s directives is that mitigation policy will</w:t>
      </w:r>
      <w:r>
        <w:t xml:space="preserve"> </w:t>
      </w:r>
      <w:r w:rsidRPr="00FD287C">
        <w:t xml:space="preserve">largely revert to the </w:t>
      </w:r>
      <w:r w:rsidRPr="00FD287C">
        <w:rPr>
          <w:i/>
        </w:rPr>
        <w:t>status quo ante</w:t>
      </w:r>
      <w:r w:rsidRPr="00FD287C">
        <w:t>.</w:t>
      </w:r>
      <w:r w:rsidR="0052205C">
        <w:t xml:space="preserve"> </w:t>
      </w:r>
      <w:r w:rsidRPr="00FD287C">
        <w:t xml:space="preserve">Mitigation requirements will </w:t>
      </w:r>
      <w:r>
        <w:t xml:space="preserve">largely </w:t>
      </w:r>
      <w:r w:rsidRPr="00FD287C">
        <w:t>be</w:t>
      </w:r>
      <w:r>
        <w:t xml:space="preserve"> </w:t>
      </w:r>
      <w:r w:rsidRPr="00FD287C">
        <w:lastRenderedPageBreak/>
        <w:t xml:space="preserve">defined by relevant statutory regimes and the </w:t>
      </w:r>
      <w:r w:rsidR="0052205C">
        <w:t xml:space="preserve">specific situation </w:t>
      </w:r>
      <w:r w:rsidRPr="00FD287C">
        <w:t>of</w:t>
      </w:r>
      <w:r>
        <w:t xml:space="preserve"> </w:t>
      </w:r>
      <w:r w:rsidRPr="00FD287C">
        <w:t>any individual permit or project</w:t>
      </w:r>
      <w:r w:rsidR="0052205C">
        <w:t>, with seemingly more leverage provided to the applicant than under the prior policies</w:t>
      </w:r>
      <w:r>
        <w:t xml:space="preserve">. However, the BLM Instruction Memorandum seems to go further than just reverting to pre-2013 status by prohibiting BLM from requiring compensatory mitigation, which had become a fairly common practice, or accepting financial contributions as a form of compensatory mitigation. </w:t>
      </w:r>
      <w:r w:rsidR="0052205C">
        <w:t xml:space="preserve">BLM </w:t>
      </w:r>
      <w:r>
        <w:t xml:space="preserve">and project proponents will likely struggle to </w:t>
      </w:r>
      <w:r w:rsidR="0052205C">
        <w:t>define the appropriate use and extent of compensatory mitigation under IM 2018-093.</w:t>
      </w:r>
    </w:p>
    <w:p w:rsidR="002C4FDE" w:rsidRPr="0016136F" w:rsidRDefault="002C4FDE" w:rsidP="0016136F">
      <w:pPr>
        <w:pStyle w:val="Heading1"/>
        <w:keepNext/>
      </w:pPr>
      <w:r w:rsidRPr="0016136F">
        <w:t xml:space="preserve">Sage-Grouse </w:t>
      </w:r>
      <w:r w:rsidR="00922E6C" w:rsidRPr="0016136F">
        <w:t xml:space="preserve">Land Use Plan </w:t>
      </w:r>
      <w:r w:rsidR="00795B20">
        <w:t>Amendments</w:t>
      </w:r>
    </w:p>
    <w:p w:rsidR="000A4A0C" w:rsidRDefault="00795B20" w:rsidP="0052205C">
      <w:pPr>
        <w:pStyle w:val="BodyText"/>
      </w:pPr>
      <w:r>
        <w:rPr>
          <w:b/>
          <w:u w:val="single"/>
        </w:rPr>
        <w:t xml:space="preserve">History of the </w:t>
      </w:r>
      <w:r w:rsidRPr="00795B20">
        <w:rPr>
          <w:b/>
          <w:u w:val="single"/>
        </w:rPr>
        <w:t>Amendments</w:t>
      </w:r>
      <w:r>
        <w:t xml:space="preserve">. </w:t>
      </w:r>
      <w:r w:rsidR="000A4A0C">
        <w:t xml:space="preserve">The contentious history of efforts to conserve the greater sage-grouse provides another example </w:t>
      </w:r>
      <w:r>
        <w:t>a considerable shift in</w:t>
      </w:r>
      <w:r w:rsidR="000A4A0C">
        <w:t xml:space="preserve"> federal wildlife conservation policy. </w:t>
      </w:r>
      <w:r w:rsidR="0052205C">
        <w:t>In 2010, USFWS published its listing decision for the greater sage-grouse, indicating that the listing was “warranted but precluded” due to higher listing priorities inside the agency.</w:t>
      </w:r>
      <w:r w:rsidR="0052205C">
        <w:rPr>
          <w:rStyle w:val="FootnoteReference"/>
        </w:rPr>
        <w:footnoteReference w:id="46"/>
      </w:r>
      <w:r w:rsidR="000A4A0C">
        <w:t xml:space="preserve"> Although some species have remained on the list of candidate species for decades, that was not the fate of the sage-grouse. </w:t>
      </w:r>
      <w:r w:rsidR="0052205C">
        <w:t>In 2011, the U.S. District Court for the District of Columbia approved two settlements between</w:t>
      </w:r>
      <w:r w:rsidR="00FD4F9A">
        <w:t xml:space="preserve"> the</w:t>
      </w:r>
      <w:r w:rsidR="0052205C">
        <w:t xml:space="preserve"> </w:t>
      </w:r>
      <w:r w:rsidR="000A4A0C">
        <w:t>USF</w:t>
      </w:r>
      <w:r w:rsidR="0052205C">
        <w:t>WS and two conservation groups</w:t>
      </w:r>
      <w:r w:rsidR="0016136F">
        <w:t xml:space="preserve"> </w:t>
      </w:r>
      <w:r w:rsidR="0052205C">
        <w:t xml:space="preserve">that resolved litigation brought by those groups seeking to expedite </w:t>
      </w:r>
      <w:r w:rsidR="000A4A0C">
        <w:t>US</w:t>
      </w:r>
      <w:r w:rsidR="0052205C">
        <w:t>FWS’s final listing determinations for certain candidate and petitioned species.</w:t>
      </w:r>
      <w:r w:rsidR="000A4A0C">
        <w:rPr>
          <w:rStyle w:val="FootnoteReference"/>
        </w:rPr>
        <w:footnoteReference w:id="47"/>
      </w:r>
      <w:r w:rsidR="0052205C">
        <w:t xml:space="preserve"> Pursuant to one of the settlements,</w:t>
      </w:r>
      <w:r w:rsidR="000A4A0C" w:rsidRPr="000A4A0C">
        <w:t xml:space="preserve"> </w:t>
      </w:r>
      <w:r w:rsidR="009C20A3">
        <w:t xml:space="preserve">USFWS </w:t>
      </w:r>
      <w:r w:rsidR="000A4A0C">
        <w:t>agreed to issue a decision on whether to list the greater sage-grouse by the end of Fiscal Year 2015.</w:t>
      </w:r>
      <w:r w:rsidR="000A4A0C">
        <w:rPr>
          <w:rStyle w:val="FootnoteReference"/>
        </w:rPr>
        <w:footnoteReference w:id="48"/>
      </w:r>
      <w:r w:rsidR="0052205C">
        <w:t xml:space="preserve"> </w:t>
      </w:r>
    </w:p>
    <w:p w:rsidR="0016136F" w:rsidRDefault="000A4A0C" w:rsidP="009C20A3">
      <w:pPr>
        <w:pStyle w:val="BodyText"/>
      </w:pPr>
      <w:r>
        <w:t>With this deadline</w:t>
      </w:r>
      <w:r w:rsidR="009C20A3" w:rsidRPr="009C20A3">
        <w:t xml:space="preserve"> </w:t>
      </w:r>
      <w:r w:rsidR="009C20A3">
        <w:t>looming</w:t>
      </w:r>
      <w:r>
        <w:t>, fears regarding the highly disruptive ramifications of a sage-grouse listing</w:t>
      </w:r>
      <w:r w:rsidR="009C20A3">
        <w:t xml:space="preserve"> were significant. However, </w:t>
      </w:r>
      <w:r w:rsidR="00565C83">
        <w:t xml:space="preserve">in </w:t>
      </w:r>
      <w:r w:rsidR="009C20A3">
        <w:t xml:space="preserve">its “warranted but precluded” </w:t>
      </w:r>
      <w:r>
        <w:t xml:space="preserve">decision, </w:t>
      </w:r>
      <w:r w:rsidR="00FD4F9A">
        <w:t xml:space="preserve">the </w:t>
      </w:r>
      <w:r>
        <w:t xml:space="preserve">USFWS </w:t>
      </w:r>
      <w:r w:rsidR="009C20A3">
        <w:t xml:space="preserve">indicated that the principal regulatory mechanism to assure adequate conservation of the species was the addition of </w:t>
      </w:r>
      <w:r>
        <w:t>conservation measures in BLM an</w:t>
      </w:r>
      <w:r w:rsidR="009C20A3">
        <w:t>d Forest Service land use plans</w:t>
      </w:r>
      <w:r>
        <w:t>.</w:t>
      </w:r>
      <w:r>
        <w:rPr>
          <w:rStyle w:val="FootnoteReference"/>
        </w:rPr>
        <w:footnoteReference w:id="49"/>
      </w:r>
      <w:r w:rsidR="009C20A3">
        <w:t xml:space="preserve"> </w:t>
      </w:r>
      <w:r w:rsidR="0052205C">
        <w:t xml:space="preserve">Thus, after a multi-year effort, BLM and the Forest Service developed comprehensive amendments to </w:t>
      </w:r>
      <w:r w:rsidR="009C20A3">
        <w:t xml:space="preserve">98 land use plans (78 BLM plans and 20 Forest Service plans) across ten states </w:t>
      </w:r>
      <w:r w:rsidR="0052205C">
        <w:t xml:space="preserve">to incorporate sage-grouse conservation measures into those plans in advance of the </w:t>
      </w:r>
      <w:r w:rsidR="009C20A3">
        <w:t>US</w:t>
      </w:r>
      <w:r w:rsidR="0052205C">
        <w:t>FWS decision.</w:t>
      </w:r>
      <w:r w:rsidR="009C20A3">
        <w:rPr>
          <w:rStyle w:val="FootnoteReference"/>
        </w:rPr>
        <w:footnoteReference w:id="50"/>
      </w:r>
      <w:r w:rsidR="0052205C">
        <w:t xml:space="preserve"> </w:t>
      </w:r>
      <w:r w:rsidR="0016136F">
        <w:t>T</w:t>
      </w:r>
      <w:r w:rsidR="009C20A3">
        <w:t xml:space="preserve">hese land use plan amendments successfully resulted in </w:t>
      </w:r>
      <w:r w:rsidR="00FD4F9A">
        <w:t xml:space="preserve">the </w:t>
      </w:r>
      <w:r w:rsidR="009C20A3">
        <w:t>US</w:t>
      </w:r>
      <w:r w:rsidR="0052205C">
        <w:t>FWS not listing the sage-grouse under the ESA</w:t>
      </w:r>
      <w:r w:rsidR="0016136F">
        <w:t>.</w:t>
      </w:r>
      <w:r w:rsidR="009C20A3">
        <w:rPr>
          <w:rStyle w:val="FootnoteReference"/>
        </w:rPr>
        <w:footnoteReference w:id="51"/>
      </w:r>
      <w:r w:rsidR="009C20A3">
        <w:t xml:space="preserve"> </w:t>
      </w:r>
      <w:r w:rsidR="0016136F">
        <w:t xml:space="preserve">However, </w:t>
      </w:r>
      <w:r w:rsidR="009C20A3">
        <w:t>they</w:t>
      </w:r>
      <w:r w:rsidR="0052205C">
        <w:t xml:space="preserve"> were highly controversial and almost immediately </w:t>
      </w:r>
      <w:r w:rsidR="009C20A3">
        <w:t>challenged in court</w:t>
      </w:r>
      <w:r w:rsidR="0052205C">
        <w:t>.</w:t>
      </w:r>
      <w:r w:rsidR="009C20A3">
        <w:rPr>
          <w:rStyle w:val="FootnoteReference"/>
        </w:rPr>
        <w:footnoteReference w:id="52"/>
      </w:r>
      <w:r w:rsidR="0052205C">
        <w:t xml:space="preserve"> </w:t>
      </w:r>
    </w:p>
    <w:p w:rsidR="00B706E3" w:rsidRDefault="00795B20" w:rsidP="009C20A3">
      <w:pPr>
        <w:pStyle w:val="BodyText"/>
      </w:pPr>
      <w:r w:rsidRPr="00795B20">
        <w:rPr>
          <w:b/>
          <w:u w:val="single"/>
        </w:rPr>
        <w:lastRenderedPageBreak/>
        <w:t>Review of the Amendments</w:t>
      </w:r>
      <w:r>
        <w:t xml:space="preserve">. </w:t>
      </w:r>
      <w:r w:rsidR="0016136F" w:rsidRPr="00565C83">
        <w:t>On</w:t>
      </w:r>
      <w:r w:rsidR="00565C83" w:rsidRPr="00565C83">
        <w:t xml:space="preserve"> June 7, 2017, Secretary Zinke issued Secretary’s Order 3353, “</w:t>
      </w:r>
      <w:r w:rsidR="00565C83" w:rsidRPr="00FD4F9A">
        <w:rPr>
          <w:i/>
        </w:rPr>
        <w:t>Greater Sage-Grouse Conservation and Cooperation with Western States</w:t>
      </w:r>
      <w:r w:rsidR="00565C83" w:rsidRPr="00565C83">
        <w:t>.” The purpose of this order was to enhance cooperation between DOI and the states with sage-grouse habitat and to establish a team to review the sage-grouse land use plan amendments and revisions completed on or before September 2015.</w:t>
      </w:r>
      <w:r w:rsidR="00565C83">
        <w:t xml:space="preserve"> </w:t>
      </w:r>
      <w:r w:rsidR="00565C83" w:rsidRPr="00565C83">
        <w:t xml:space="preserve">The DOI Review Team </w:t>
      </w:r>
      <w:r w:rsidR="00FD4F9A">
        <w:t>convened</w:t>
      </w:r>
      <w:r w:rsidR="00565C83" w:rsidRPr="00565C83">
        <w:t xml:space="preserve"> pursuant to Secretary</w:t>
      </w:r>
      <w:r w:rsidR="00565C83">
        <w:t>’s</w:t>
      </w:r>
      <w:r w:rsidR="00565C83" w:rsidRPr="00565C83">
        <w:t xml:space="preserve"> Order 3353 worked with representatives of Western states to develop recommendations for revisions to various procedures, policies and management plans for sage-grouse conservation</w:t>
      </w:r>
      <w:r w:rsidR="00A74C82">
        <w:t xml:space="preserve"> and issued a “</w:t>
      </w:r>
      <w:r w:rsidR="00A74C82" w:rsidRPr="00FD4F9A">
        <w:rPr>
          <w:i/>
        </w:rPr>
        <w:t>Report in Response to Secretarial Order 3353</w:t>
      </w:r>
      <w:r w:rsidR="00A74C82">
        <w:t>” on August 4, 2017</w:t>
      </w:r>
      <w:r w:rsidR="00565C83">
        <w:t>.</w:t>
      </w:r>
      <w:r w:rsidR="00AD6603">
        <w:rPr>
          <w:rStyle w:val="FootnoteReference"/>
        </w:rPr>
        <w:footnoteReference w:id="53"/>
      </w:r>
      <w:r w:rsidR="00565C83">
        <w:t xml:space="preserve"> </w:t>
      </w:r>
      <w:r w:rsidR="00A74C82">
        <w:t xml:space="preserve">That report </w:t>
      </w:r>
      <w:r w:rsidR="00A74C82" w:rsidRPr="00A74C82">
        <w:t>recommend</w:t>
      </w:r>
      <w:r w:rsidR="00A74C82">
        <w:t>ed</w:t>
      </w:r>
      <w:r w:rsidR="00A74C82" w:rsidRPr="00A74C82">
        <w:t xml:space="preserve"> further investigation of potential plan amendments to best balance sage-grouse conservation and economic development </w:t>
      </w:r>
      <w:r w:rsidR="00A74C82">
        <w:t xml:space="preserve">and to make the land use plans more consistent with state sage-grouse plans.  </w:t>
      </w:r>
    </w:p>
    <w:p w:rsidR="00F9140A" w:rsidRDefault="00795B20" w:rsidP="009C20A3">
      <w:pPr>
        <w:pStyle w:val="BodyText"/>
      </w:pPr>
      <w:r>
        <w:t>In October and November</w:t>
      </w:r>
      <w:r w:rsidR="00A74C82">
        <w:t xml:space="preserve"> 2017</w:t>
      </w:r>
      <w:r w:rsidR="0052205C">
        <w:t>, the Trump Administration issued notice</w:t>
      </w:r>
      <w:r w:rsidR="001C7E4A">
        <w:t>s</w:t>
      </w:r>
      <w:r w:rsidR="0052205C">
        <w:t xml:space="preserve"> of intent to further amend the </w:t>
      </w:r>
      <w:r w:rsidR="001C7E4A">
        <w:t xml:space="preserve">BLM and Forest Service </w:t>
      </w:r>
      <w:r w:rsidR="0052205C">
        <w:t>land use plans</w:t>
      </w:r>
      <w:r w:rsidR="00A74C82">
        <w:t>, respectively,</w:t>
      </w:r>
      <w:r w:rsidR="0052205C">
        <w:t xml:space="preserve"> regarding greater sage-grouse conservation.</w:t>
      </w:r>
      <w:r w:rsidR="009C20A3">
        <w:rPr>
          <w:rStyle w:val="FootnoteReference"/>
        </w:rPr>
        <w:footnoteReference w:id="54"/>
      </w:r>
      <w:r w:rsidR="0052205C">
        <w:t xml:space="preserve"> </w:t>
      </w:r>
      <w:r w:rsidR="00B706E3">
        <w:t xml:space="preserve">On May 4, 2018, BLM issued notices of availability for draft environmental impact statements </w:t>
      </w:r>
      <w:r w:rsidR="00F9140A">
        <w:t xml:space="preserve">(DEISs) </w:t>
      </w:r>
      <w:r w:rsidR="00B706E3">
        <w:t>and associated resource management plan amendments for six regions:  Nevada and Northeastern California, Idaho, Utah, Oregon, Colorado, and Wyoming.</w:t>
      </w:r>
      <w:r w:rsidR="00B706E3">
        <w:rPr>
          <w:rStyle w:val="FootnoteReference"/>
        </w:rPr>
        <w:footnoteReference w:id="55"/>
      </w:r>
      <w:r w:rsidR="00CD5021">
        <w:t xml:space="preserve"> The state-by-state </w:t>
      </w:r>
      <w:r w:rsidR="00CF33DD">
        <w:t>approach</w:t>
      </w:r>
      <w:r w:rsidR="00F9140A">
        <w:t>,</w:t>
      </w:r>
      <w:r w:rsidR="00CF33DD">
        <w:t xml:space="preserve"> which is in contrast to the more uniform approach taken in 2015,</w:t>
      </w:r>
      <w:r w:rsidR="00CD5021">
        <w:t xml:space="preserve"> reflects the differing level of consistency between the existing sage-grouse amendments and state sage-grouse plans</w:t>
      </w:r>
      <w:r w:rsidR="00D4672B">
        <w:t xml:space="preserve"> and the desire to tailor the plans to the local conditions and needs</w:t>
      </w:r>
      <w:r w:rsidR="00CD5021">
        <w:t>.</w:t>
      </w:r>
      <w:r w:rsidR="00D4672B">
        <w:t xml:space="preserve"> For instance, the Colorado proposed amendments focus on oil and gas development, while the Oregon proposed amendments focus on livestock grazing.</w:t>
      </w:r>
      <w:r w:rsidR="00F9140A">
        <w:t xml:space="preserve"> The proposed amendments in the other states covered a broader range of topics. The public comment period on BLM’s DEISs and proposed amendments closed on August 2, 2018. </w:t>
      </w:r>
    </w:p>
    <w:p w:rsidR="00795B20" w:rsidRDefault="00F9140A" w:rsidP="009C20A3">
      <w:pPr>
        <w:pStyle w:val="BodyText"/>
      </w:pPr>
      <w:r>
        <w:t xml:space="preserve">On October 5, 2018, the Forest Service issued its notice of availability of a DEIS and proposed land management plan amendments for the Intermountain and Rocky Mountain </w:t>
      </w:r>
      <w:r>
        <w:lastRenderedPageBreak/>
        <w:t>regions.</w:t>
      </w:r>
      <w:r>
        <w:rPr>
          <w:rStyle w:val="FootnoteReference"/>
        </w:rPr>
        <w:footnoteReference w:id="56"/>
      </w:r>
      <w:r w:rsidR="00270B69">
        <w:t xml:space="preserve"> While analyzed in a single DEIS, the Forest Service’s proposed amendments are also tailored to the states affected</w:t>
      </w:r>
      <w:r w:rsidR="00C408EB">
        <w:t>, identifying revisions to certain aspects of the plans on a state-by-state basis</w:t>
      </w:r>
      <w:r w:rsidR="00270B69">
        <w:t>.</w:t>
      </w:r>
      <w:r w:rsidR="00C408EB">
        <w:t xml:space="preserve"> The comment period for the DEIS and proposed amendments ends January 3, 2019.</w:t>
      </w:r>
    </w:p>
    <w:p w:rsidR="0052205C" w:rsidRDefault="00795B20" w:rsidP="009C20A3">
      <w:pPr>
        <w:pStyle w:val="BodyText"/>
      </w:pPr>
      <w:r w:rsidRPr="00795B20">
        <w:rPr>
          <w:b/>
          <w:u w:val="single"/>
        </w:rPr>
        <w:t>Implications</w:t>
      </w:r>
      <w:r>
        <w:t xml:space="preserve">. </w:t>
      </w:r>
      <w:r w:rsidR="00270B69">
        <w:t xml:space="preserve">Assuming that they are </w:t>
      </w:r>
      <w:r w:rsidR="00AD6603">
        <w:t>finalized</w:t>
      </w:r>
      <w:r w:rsidR="00270B69">
        <w:t xml:space="preserve"> as proposed</w:t>
      </w:r>
      <w:r w:rsidR="00AD6603">
        <w:t xml:space="preserve">, the </w:t>
      </w:r>
      <w:r w:rsidR="0089724F">
        <w:t>revised land use plan amendments</w:t>
      </w:r>
      <w:r>
        <w:t xml:space="preserve"> </w:t>
      </w:r>
      <w:r w:rsidR="0089724F">
        <w:t xml:space="preserve">will </w:t>
      </w:r>
      <w:r w:rsidR="00AD6603">
        <w:t xml:space="preserve">include </w:t>
      </w:r>
      <w:r w:rsidR="0089724F">
        <w:t xml:space="preserve">certain </w:t>
      </w:r>
      <w:r w:rsidR="00AD6603">
        <w:t xml:space="preserve">relaxed </w:t>
      </w:r>
      <w:r w:rsidR="0089724F">
        <w:t xml:space="preserve">restrictions </w:t>
      </w:r>
      <w:r w:rsidR="00AD6603">
        <w:t xml:space="preserve">on sage-grouse conservation </w:t>
      </w:r>
      <w:r w:rsidR="0089724F">
        <w:t xml:space="preserve">to facilitate increased energy development </w:t>
      </w:r>
      <w:r w:rsidR="00270B69">
        <w:t xml:space="preserve">on and other uses of </w:t>
      </w:r>
      <w:r w:rsidR="0089724F">
        <w:t xml:space="preserve">public lands and provisions that more closely align with the relevant state plans. </w:t>
      </w:r>
      <w:r w:rsidR="00A74C82">
        <w:t xml:space="preserve">However, with the specter of a potential </w:t>
      </w:r>
      <w:r w:rsidR="0089724F">
        <w:t>ESA</w:t>
      </w:r>
      <w:r w:rsidR="00A74C82">
        <w:t xml:space="preserve"> listing if the pendulum swings too far, the Trump Administration’s ability to completely undo the prior Administration’s efforts is more limited in the context of the sage-grouse</w:t>
      </w:r>
      <w:r w:rsidR="0089724F">
        <w:t xml:space="preserve"> than in other areas</w:t>
      </w:r>
      <w:r w:rsidR="00A74C82">
        <w:t>.</w:t>
      </w:r>
      <w:r w:rsidR="0089724F">
        <w:t xml:space="preserve"> </w:t>
      </w:r>
      <w:r w:rsidR="00270B69">
        <w:t xml:space="preserve">While some of the proposed amendments that allow considerable relief from the stringent requirements of the 2015 plan amendments will undoubtedly garner significant public comment, several areas of the original plan amendments remain unchanged. Whether the ultimate change in direction will be too severe to continue to justify a “not warranted” finding </w:t>
      </w:r>
      <w:r w:rsidR="00C408EB">
        <w:t xml:space="preserve">under the ESA </w:t>
      </w:r>
      <w:r w:rsidR="00270B69">
        <w:t>remains to be seen.</w:t>
      </w:r>
    </w:p>
    <w:p w:rsidR="00ED368D" w:rsidRDefault="00ED368D" w:rsidP="00ED368D">
      <w:pPr>
        <w:pStyle w:val="Heading1"/>
        <w:keepNext/>
      </w:pPr>
      <w:r>
        <w:t>Conclusion</w:t>
      </w:r>
    </w:p>
    <w:p w:rsidR="00ED368D" w:rsidRPr="0016136F" w:rsidRDefault="00ED368D" w:rsidP="00ED368D">
      <w:pPr>
        <w:pStyle w:val="BodyText"/>
      </w:pPr>
      <w:r>
        <w:t xml:space="preserve">Federal wildlife conservation policy is considerably different than it was just two years ago. </w:t>
      </w:r>
      <w:r w:rsidR="009D4F89">
        <w:t xml:space="preserve">The Trump Administration’s modifications to DOI’s </w:t>
      </w:r>
      <w:r>
        <w:t xml:space="preserve">interpretation of the MBTA, </w:t>
      </w:r>
      <w:r w:rsidR="009D4F89">
        <w:t xml:space="preserve">federal </w:t>
      </w:r>
      <w:r>
        <w:t xml:space="preserve">mitigation policy, and sage-grouse land use plan amendments </w:t>
      </w:r>
      <w:r w:rsidR="009D4F89">
        <w:t xml:space="preserve">are just a few of the examples of how the landscape has changed in this area. The regulated community may benefit from relaxed requirements and restrictions, but these changes also create considerable uncertainty, especially considering that the pendulum will likely swing </w:t>
      </w:r>
      <w:r w:rsidR="00AD6603">
        <w:t xml:space="preserve">back the other way at some point </w:t>
      </w:r>
      <w:r w:rsidR="009D4F89">
        <w:t xml:space="preserve">in the future. </w:t>
      </w:r>
    </w:p>
    <w:p w:rsidR="00ED368D" w:rsidRDefault="00ED368D" w:rsidP="009C20A3">
      <w:pPr>
        <w:pStyle w:val="BodyText"/>
      </w:pPr>
    </w:p>
    <w:p w:rsidR="002C4FDE" w:rsidRDefault="002C4FDE" w:rsidP="00B21625">
      <w:pPr>
        <w:pStyle w:val="BodyText"/>
      </w:pPr>
    </w:p>
    <w:p w:rsidR="0016136F" w:rsidRPr="0016136F" w:rsidRDefault="0016136F" w:rsidP="0016136F">
      <w:pPr>
        <w:rPr>
          <w:sz w:val="16"/>
        </w:rPr>
      </w:pPr>
      <w:r w:rsidRPr="0016136F">
        <w:rPr>
          <w:sz w:val="16"/>
        </w:rPr>
        <w:fldChar w:fldCharType="begin"/>
      </w:r>
      <w:r w:rsidRPr="0016136F">
        <w:rPr>
          <w:sz w:val="16"/>
        </w:rPr>
        <w:instrText xml:space="preserve"> FILENAME  \* MERGEFORMAT </w:instrText>
      </w:r>
      <w:r w:rsidRPr="0016136F">
        <w:rPr>
          <w:sz w:val="16"/>
        </w:rPr>
        <w:fldChar w:fldCharType="separate"/>
      </w:r>
      <w:r w:rsidRPr="0016136F">
        <w:rPr>
          <w:noProof/>
          <w:sz w:val="16"/>
        </w:rPr>
        <w:t>11373809_1</w:t>
      </w:r>
      <w:r w:rsidRPr="0016136F">
        <w:rPr>
          <w:sz w:val="16"/>
        </w:rPr>
        <w:fldChar w:fldCharType="end"/>
      </w:r>
    </w:p>
    <w:sectPr w:rsidR="0016136F" w:rsidRPr="0016136F" w:rsidSect="00B21625">
      <w:footerReference w:type="default" r:id="rId8"/>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87C" w:rsidRDefault="00FD287C" w:rsidP="00EC28EA">
      <w:r>
        <w:separator/>
      </w:r>
    </w:p>
  </w:endnote>
  <w:endnote w:type="continuationSeparator" w:id="0">
    <w:p w:rsidR="00FD287C" w:rsidRDefault="00FD287C" w:rsidP="00EC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46311"/>
      <w:docPartObj>
        <w:docPartGallery w:val="Page Numbers (Bottom of Page)"/>
        <w:docPartUnique/>
      </w:docPartObj>
    </w:sdtPr>
    <w:sdtEndPr>
      <w:rPr>
        <w:noProof/>
      </w:rPr>
    </w:sdtEndPr>
    <w:sdtContent>
      <w:p w:rsidR="00FD287C" w:rsidRDefault="00FD287C" w:rsidP="0081632E">
        <w:pPr>
          <w:pStyle w:val="Footer"/>
          <w:jc w:val="center"/>
        </w:pPr>
        <w:r>
          <w:fldChar w:fldCharType="begin"/>
        </w:r>
        <w:r>
          <w:instrText xml:space="preserve"> PAGE   \* MERGEFORMAT </w:instrText>
        </w:r>
        <w:r>
          <w:fldChar w:fldCharType="separate"/>
        </w:r>
        <w:r w:rsidR="009D4F89">
          <w:rPr>
            <w:noProof/>
          </w:rPr>
          <w:t>9</w:t>
        </w:r>
        <w:r>
          <w:rPr>
            <w:noProof/>
          </w:rPr>
          <w:fldChar w:fldCharType="end"/>
        </w:r>
      </w:p>
    </w:sdtContent>
  </w:sdt>
  <w:p w:rsidR="00FD287C" w:rsidRDefault="00FD287C" w:rsidP="00EC2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87C" w:rsidRDefault="00FD287C" w:rsidP="00EC28EA">
      <w:r>
        <w:separator/>
      </w:r>
    </w:p>
  </w:footnote>
  <w:footnote w:type="continuationSeparator" w:id="0">
    <w:p w:rsidR="00FD287C" w:rsidRDefault="00FD287C" w:rsidP="00EC28EA">
      <w:r>
        <w:continuationSeparator/>
      </w:r>
    </w:p>
  </w:footnote>
  <w:footnote w:id="1">
    <w:p w:rsidR="00FD287C" w:rsidRPr="006F4038" w:rsidRDefault="00FD287C" w:rsidP="00F42333">
      <w:pPr>
        <w:pStyle w:val="FootnoteText"/>
      </w:pPr>
      <w:r w:rsidRPr="006F4038">
        <w:rPr>
          <w:rStyle w:val="FootnoteReference"/>
        </w:rPr>
        <w:footnoteRef/>
      </w:r>
      <w:r w:rsidRPr="006F4038">
        <w:t xml:space="preserve"> 16 U.S.C.</w:t>
      </w:r>
      <w:r w:rsidRPr="006F4038">
        <w:rPr>
          <w:i/>
        </w:rPr>
        <w:t xml:space="preserve"> </w:t>
      </w:r>
      <w:r w:rsidRPr="006F4038">
        <w:t>§ 703(a).</w:t>
      </w:r>
    </w:p>
  </w:footnote>
  <w:footnote w:id="2">
    <w:p w:rsidR="00FD287C" w:rsidRPr="006F4038" w:rsidRDefault="00FD287C" w:rsidP="00F42333">
      <w:pPr>
        <w:pStyle w:val="FootnoteText"/>
      </w:pPr>
      <w:r w:rsidRPr="006F4038">
        <w:rPr>
          <w:rStyle w:val="FootnoteReference"/>
        </w:rPr>
        <w:footnoteRef/>
      </w:r>
      <w:r w:rsidRPr="006F4038">
        <w:t xml:space="preserve"> 50 C.F.R. § 10.13.</w:t>
      </w:r>
    </w:p>
  </w:footnote>
  <w:footnote w:id="3">
    <w:p w:rsidR="00FD287C" w:rsidRPr="006F4038" w:rsidRDefault="00FD287C" w:rsidP="00F42333">
      <w:pPr>
        <w:pStyle w:val="FootnoteText"/>
      </w:pPr>
      <w:r w:rsidRPr="006F4038">
        <w:rPr>
          <w:rStyle w:val="FootnoteReference"/>
        </w:rPr>
        <w:footnoteRef/>
      </w:r>
      <w:r w:rsidRPr="006F4038">
        <w:t xml:space="preserve"> 16 U.S.C. § 703(a).</w:t>
      </w:r>
    </w:p>
  </w:footnote>
  <w:footnote w:id="4">
    <w:p w:rsidR="00FD287C" w:rsidRPr="006F4038" w:rsidRDefault="00FD287C" w:rsidP="00F42333">
      <w:pPr>
        <w:pStyle w:val="FootnoteText"/>
      </w:pPr>
      <w:r w:rsidRPr="006F4038">
        <w:rPr>
          <w:rStyle w:val="FootnoteReference"/>
        </w:rPr>
        <w:footnoteRef/>
      </w:r>
      <w:r w:rsidRPr="006F4038">
        <w:t xml:space="preserve"> 50 C.F.R. §§ 10.2, 10.12.</w:t>
      </w:r>
    </w:p>
  </w:footnote>
  <w:footnote w:id="5">
    <w:p w:rsidR="00FD287C" w:rsidRPr="006F4038" w:rsidRDefault="00FD287C" w:rsidP="00F42333">
      <w:pPr>
        <w:pStyle w:val="FootnoteText"/>
      </w:pPr>
      <w:r w:rsidRPr="006F4038">
        <w:rPr>
          <w:rStyle w:val="FootnoteReference"/>
        </w:rPr>
        <w:footnoteRef/>
      </w:r>
      <w:r w:rsidRPr="006F4038">
        <w:t xml:space="preserve"> 16 U.S.C. § 707(a).</w:t>
      </w:r>
    </w:p>
  </w:footnote>
  <w:footnote w:id="6">
    <w:p w:rsidR="00FD287C" w:rsidRPr="006F4038" w:rsidRDefault="00FD287C" w:rsidP="00F42333">
      <w:pPr>
        <w:pStyle w:val="FootnoteText"/>
      </w:pPr>
      <w:r w:rsidRPr="006F4038">
        <w:rPr>
          <w:rStyle w:val="FootnoteReference"/>
        </w:rPr>
        <w:footnoteRef/>
      </w:r>
      <w:r w:rsidRPr="006F4038">
        <w:t xml:space="preserve"> </w:t>
      </w:r>
      <w:r w:rsidRPr="006F4038">
        <w:rPr>
          <w:i/>
        </w:rPr>
        <w:t xml:space="preserve">Id. </w:t>
      </w:r>
      <w:r w:rsidRPr="006F4038">
        <w:t xml:space="preserve">§ 707(b). </w:t>
      </w:r>
      <w:r>
        <w:t>While t</w:t>
      </w:r>
      <w:r w:rsidRPr="006F4038">
        <w:t>he statute provides that the fine for knowing violations is $2,000</w:t>
      </w:r>
      <w:r>
        <w:t>, t</w:t>
      </w:r>
      <w:r w:rsidRPr="006F4038">
        <w:t>he Criminal Fines Improvement Act of 1987 increased the potential fines for individuals and corporations. 18</w:t>
      </w:r>
      <w:r>
        <w:t> </w:t>
      </w:r>
      <w:r w:rsidRPr="006F4038">
        <w:t>U.S.C. §§ 3559(a), 3571(b)(3), 3571(c)(3).</w:t>
      </w:r>
    </w:p>
  </w:footnote>
  <w:footnote w:id="7">
    <w:p w:rsidR="00FD287C" w:rsidRPr="006F4038" w:rsidRDefault="00FD287C" w:rsidP="00F42333">
      <w:pPr>
        <w:pStyle w:val="FootnoteText"/>
      </w:pPr>
      <w:r w:rsidRPr="006F4038">
        <w:rPr>
          <w:rStyle w:val="FootnoteReference"/>
        </w:rPr>
        <w:footnoteRef/>
      </w:r>
      <w:r w:rsidRPr="006F4038">
        <w:t xml:space="preserve"> </w:t>
      </w:r>
      <w:r w:rsidRPr="006F4038">
        <w:rPr>
          <w:i/>
          <w:color w:val="000000"/>
        </w:rPr>
        <w:t>S</w:t>
      </w:r>
      <w:r w:rsidRPr="006F4038">
        <w:rPr>
          <w:i/>
          <w:iCs/>
          <w:color w:val="000000"/>
        </w:rPr>
        <w:t>ee Defenders of Wildlife v. EPA</w:t>
      </w:r>
      <w:r w:rsidRPr="006F4038">
        <w:rPr>
          <w:color w:val="000000"/>
        </w:rPr>
        <w:t>, 882 F.2d 1294, 1301-02 (8th Cir. 1989).</w:t>
      </w:r>
      <w:r>
        <w:rPr>
          <w:color w:val="000000"/>
        </w:rPr>
        <w:t xml:space="preserve"> </w:t>
      </w:r>
      <w:r w:rsidRPr="006F4038">
        <w:t xml:space="preserve">However, citizen plaintiffs may be able to sue the federal government under </w:t>
      </w:r>
      <w:r>
        <w:t>the Administrative Procedure Act</w:t>
      </w:r>
      <w:r w:rsidRPr="006F4038">
        <w:t xml:space="preserve"> for its failure to comply with the MBTA in federal land management or project permitting activities.</w:t>
      </w:r>
      <w:r w:rsidRPr="00891DA8">
        <w:rPr>
          <w:i/>
          <w:iCs/>
        </w:rPr>
        <w:t xml:space="preserve"> </w:t>
      </w:r>
      <w:r w:rsidRPr="006F4038">
        <w:rPr>
          <w:i/>
          <w:iCs/>
        </w:rPr>
        <w:t>Humane Soc’y</w:t>
      </w:r>
      <w:r>
        <w:rPr>
          <w:i/>
          <w:iCs/>
        </w:rPr>
        <w:t xml:space="preserve"> </w:t>
      </w:r>
      <w:r w:rsidRPr="006F4038">
        <w:rPr>
          <w:i/>
          <w:iCs/>
        </w:rPr>
        <w:t>of the United States v. Glickman</w:t>
      </w:r>
      <w:r w:rsidRPr="006F4038">
        <w:t xml:space="preserve">, 217 F.3d </w:t>
      </w:r>
      <w:r w:rsidRPr="006F4038">
        <w:rPr>
          <w:color w:val="000000"/>
        </w:rPr>
        <w:t>882, 886 (D.C. Cir. 2000)</w:t>
      </w:r>
      <w:r>
        <w:rPr>
          <w:color w:val="000000"/>
        </w:rPr>
        <w:t xml:space="preserve"> </w:t>
      </w:r>
      <w:r w:rsidRPr="006F4038">
        <w:t xml:space="preserve">(citizens can sue a federal agency </w:t>
      </w:r>
      <w:r>
        <w:t xml:space="preserve">under the APA </w:t>
      </w:r>
      <w:r w:rsidRPr="006F4038">
        <w:t>for violations of the MBTA);</w:t>
      </w:r>
      <w:r w:rsidRPr="00891DA8">
        <w:rPr>
          <w:i/>
        </w:rPr>
        <w:t xml:space="preserve"> </w:t>
      </w:r>
      <w:r w:rsidRPr="006F4038">
        <w:rPr>
          <w:i/>
        </w:rPr>
        <w:t xml:space="preserve">but see </w:t>
      </w:r>
      <w:r w:rsidRPr="006F4038">
        <w:rPr>
          <w:i/>
          <w:iCs/>
        </w:rPr>
        <w:t>Sierra Club v. Martin</w:t>
      </w:r>
      <w:r w:rsidRPr="006F4038">
        <w:t>, 110 F.3d 1551, 1555 (11th Cir. 1997) (MBTA does not apply to the federal government).</w:t>
      </w:r>
    </w:p>
  </w:footnote>
  <w:footnote w:id="8">
    <w:p w:rsidR="00FD287C" w:rsidRPr="006F4038" w:rsidRDefault="00FD287C" w:rsidP="00F42333">
      <w:pPr>
        <w:pStyle w:val="FootnoteText"/>
      </w:pPr>
      <w:r w:rsidRPr="006F4038">
        <w:rPr>
          <w:rStyle w:val="FootnoteReference"/>
        </w:rPr>
        <w:footnoteRef/>
      </w:r>
      <w:r w:rsidRPr="006F4038">
        <w:t xml:space="preserve"> </w:t>
      </w:r>
      <w:r w:rsidRPr="006F4038">
        <w:rPr>
          <w:i/>
        </w:rPr>
        <w:t xml:space="preserve">See </w:t>
      </w:r>
      <w:r w:rsidRPr="006F4038">
        <w:t>50 C.F.R. Part 21.</w:t>
      </w:r>
    </w:p>
  </w:footnote>
  <w:footnote w:id="9">
    <w:p w:rsidR="00FD287C" w:rsidRPr="006F4038" w:rsidRDefault="00FD287C" w:rsidP="00F42333">
      <w:pPr>
        <w:pStyle w:val="FootnoteText"/>
      </w:pPr>
      <w:r w:rsidRPr="006F4038">
        <w:rPr>
          <w:rStyle w:val="FootnoteReference"/>
        </w:rPr>
        <w:footnoteRef/>
      </w:r>
      <w:r w:rsidRPr="006F4038">
        <w:t xml:space="preserve"> </w:t>
      </w:r>
      <w:r w:rsidRPr="006F4038">
        <w:rPr>
          <w:i/>
          <w:iCs/>
        </w:rPr>
        <w:t xml:space="preserve">Id. </w:t>
      </w:r>
      <w:r w:rsidRPr="006F4038">
        <w:t>§ 21.27.</w:t>
      </w:r>
    </w:p>
  </w:footnote>
  <w:footnote w:id="10">
    <w:p w:rsidR="00FD287C" w:rsidRDefault="00FD287C" w:rsidP="00F42333">
      <w:pPr>
        <w:pStyle w:val="FootnoteText"/>
      </w:pPr>
      <w:r>
        <w:rPr>
          <w:rStyle w:val="FootnoteReference"/>
        </w:rPr>
        <w:footnoteRef/>
      </w:r>
      <w:r>
        <w:t xml:space="preserve"> The Service’s regulations authorize take of migratory birds by the Armed Forces that occurs incidental to military readiness activities. 50 C.F.R. § 21.15.</w:t>
      </w:r>
    </w:p>
  </w:footnote>
  <w:footnote w:id="11">
    <w:p w:rsidR="00FD287C" w:rsidRPr="008049C4" w:rsidRDefault="00FD287C" w:rsidP="00F42333">
      <w:pPr>
        <w:pStyle w:val="FootnoteText"/>
        <w:rPr>
          <w:i/>
        </w:rPr>
      </w:pPr>
      <w:r>
        <w:rPr>
          <w:rStyle w:val="FootnoteReference"/>
        </w:rPr>
        <w:footnoteRef/>
      </w:r>
      <w:r>
        <w:t xml:space="preserve"> </w:t>
      </w:r>
      <w:r>
        <w:rPr>
          <w:i/>
        </w:rPr>
        <w:t xml:space="preserve">See, e.g., </w:t>
      </w:r>
      <w:r w:rsidRPr="006F4038">
        <w:rPr>
          <w:i/>
        </w:rPr>
        <w:t>United States v. Apollo Energies, Inc.</w:t>
      </w:r>
      <w:r w:rsidRPr="006F4038">
        <w:t xml:space="preserve">, 611 F.3d 679, </w:t>
      </w:r>
      <w:r w:rsidRPr="00CE5C21">
        <w:t>684-85</w:t>
      </w:r>
      <w:r w:rsidRPr="006F4038">
        <w:t xml:space="preserve"> (10th Cir. 2010) (</w:t>
      </w:r>
      <w:r>
        <w:t>oil and gas development</w:t>
      </w:r>
      <w:r w:rsidRPr="006F4038">
        <w:t>);</w:t>
      </w:r>
      <w:r w:rsidRPr="006F4038">
        <w:rPr>
          <w:i/>
        </w:rPr>
        <w:t xml:space="preserve"> </w:t>
      </w:r>
      <w:r w:rsidRPr="006F4038">
        <w:rPr>
          <w:i/>
          <w:iCs/>
        </w:rPr>
        <w:t>United States v. FMC Corp.</w:t>
      </w:r>
      <w:r w:rsidRPr="006F4038">
        <w:t xml:space="preserve">, 572 F.2d 902, </w:t>
      </w:r>
      <w:r w:rsidR="00CE5C21">
        <w:t>906-07</w:t>
      </w:r>
      <w:r w:rsidRPr="006F4038">
        <w:t xml:space="preserve"> (2d Cir. 1978)</w:t>
      </w:r>
      <w:r>
        <w:t xml:space="preserve"> (pesticide manufacturing). The Tenth Circuit clarified that, to satisfy due-process concerns, the take had to be proximately caused by the conduct of the defendant and that the defendant had to have notice that such conduct could result in a violation of the act. </w:t>
      </w:r>
      <w:r w:rsidRPr="006F4038">
        <w:rPr>
          <w:i/>
        </w:rPr>
        <w:t>Apollo Energies</w:t>
      </w:r>
      <w:r>
        <w:t>, 611 F.3d at 669.</w:t>
      </w:r>
    </w:p>
  </w:footnote>
  <w:footnote w:id="12">
    <w:p w:rsidR="00A04DAE" w:rsidRDefault="00A04DAE">
      <w:pPr>
        <w:pStyle w:val="FootnoteText"/>
      </w:pPr>
      <w:r>
        <w:rPr>
          <w:rStyle w:val="FootnoteReference"/>
        </w:rPr>
        <w:footnoteRef/>
      </w:r>
      <w:r>
        <w:t xml:space="preserve"> </w:t>
      </w:r>
      <w:r w:rsidRPr="00C10CBD">
        <w:rPr>
          <w:i/>
        </w:rPr>
        <w:t>United States v. Citgo Petroleum Corp</w:t>
      </w:r>
      <w:r>
        <w:rPr>
          <w:i/>
        </w:rPr>
        <w:t>.</w:t>
      </w:r>
      <w:r>
        <w:t>, 801 F.3d 477, 488-89 (5th Cir. 2015).</w:t>
      </w:r>
    </w:p>
  </w:footnote>
  <w:footnote w:id="13">
    <w:p w:rsidR="00A04DAE" w:rsidRDefault="00A04DAE">
      <w:pPr>
        <w:pStyle w:val="FootnoteText"/>
      </w:pPr>
      <w:r>
        <w:rPr>
          <w:rStyle w:val="FootnoteReference"/>
        </w:rPr>
        <w:footnoteRef/>
      </w:r>
      <w:r>
        <w:t xml:space="preserve"> </w:t>
      </w:r>
      <w:r>
        <w:rPr>
          <w:i/>
        </w:rPr>
        <w:t>Id.</w:t>
      </w:r>
      <w:r>
        <w:t xml:space="preserve"> (discussing </w:t>
      </w:r>
      <w:r w:rsidRPr="00C10CBD">
        <w:rPr>
          <w:i/>
        </w:rPr>
        <w:t>Newton Cnty. Wildlife Ass’n v. U.S. Forest Serv.,</w:t>
      </w:r>
      <w:hyperlink r:id="rId1" w:history="1">
        <w:r>
          <w:t xml:space="preserve"> 113 F.3d 110, 115 (8th Cir. 1997)</w:t>
        </w:r>
      </w:hyperlink>
      <w:r>
        <w:t xml:space="preserve"> and </w:t>
      </w:r>
      <w:r w:rsidRPr="00EB2B5D">
        <w:rPr>
          <w:i/>
        </w:rPr>
        <w:t>Seattle</w:t>
      </w:r>
      <w:r>
        <w:t xml:space="preserve"> </w:t>
      </w:r>
      <w:r w:rsidRPr="00EB2B5D">
        <w:rPr>
          <w:i/>
        </w:rPr>
        <w:t>Audubon Soc’y v. Evans</w:t>
      </w:r>
      <w:r>
        <w:t>, 952 F.2d 297 (9th Cir. 1991)).</w:t>
      </w:r>
    </w:p>
  </w:footnote>
  <w:footnote w:id="14">
    <w:p w:rsidR="00A04DAE" w:rsidRDefault="00A04DAE">
      <w:pPr>
        <w:pStyle w:val="FootnoteText"/>
      </w:pPr>
      <w:r>
        <w:rPr>
          <w:rStyle w:val="FootnoteReference"/>
        </w:rPr>
        <w:footnoteRef/>
      </w:r>
      <w:r>
        <w:t xml:space="preserve"> </w:t>
      </w:r>
      <w:r w:rsidRPr="003473CF">
        <w:rPr>
          <w:i/>
        </w:rPr>
        <w:t>Seattle Audubon Soc’y</w:t>
      </w:r>
      <w:r>
        <w:t>, 952 F.2d at 302.</w:t>
      </w:r>
    </w:p>
  </w:footnote>
  <w:footnote w:id="15">
    <w:p w:rsidR="00A04DAE" w:rsidRDefault="00A04DAE">
      <w:pPr>
        <w:pStyle w:val="FootnoteText"/>
      </w:pPr>
      <w:r>
        <w:rPr>
          <w:rStyle w:val="FootnoteReference"/>
        </w:rPr>
        <w:footnoteRef/>
      </w:r>
      <w:r>
        <w:t xml:space="preserve"> </w:t>
      </w:r>
      <w:r w:rsidRPr="00EB2B5D">
        <w:rPr>
          <w:i/>
        </w:rPr>
        <w:t>Newton Cnty. Wildlife Ass’n</w:t>
      </w:r>
      <w:r>
        <w:t>,</w:t>
      </w:r>
      <w:hyperlink r:id="rId2" w:history="1">
        <w:r>
          <w:t xml:space="preserve"> 113 F.3d at 115</w:t>
        </w:r>
      </w:hyperlink>
      <w:r>
        <w:t>.</w:t>
      </w:r>
    </w:p>
  </w:footnote>
  <w:footnote w:id="16">
    <w:p w:rsidR="00FD287C" w:rsidRDefault="00FD287C" w:rsidP="00F42333">
      <w:pPr>
        <w:pStyle w:val="FootnoteText"/>
      </w:pPr>
      <w:r>
        <w:rPr>
          <w:rStyle w:val="FootnoteReference"/>
        </w:rPr>
        <w:footnoteRef/>
      </w:r>
      <w:r>
        <w:t xml:space="preserve"> </w:t>
      </w:r>
      <w:r w:rsidRPr="00C10CBD">
        <w:rPr>
          <w:i/>
        </w:rPr>
        <w:t>Citgo Petroleum</w:t>
      </w:r>
      <w:r>
        <w:t>, 801 F.3d at 493.</w:t>
      </w:r>
    </w:p>
  </w:footnote>
  <w:footnote w:id="17">
    <w:p w:rsidR="00FD287C" w:rsidRPr="00334F9A" w:rsidRDefault="00FD287C" w:rsidP="00F42333">
      <w:pPr>
        <w:pStyle w:val="FootnoteText"/>
      </w:pPr>
      <w:r>
        <w:rPr>
          <w:rStyle w:val="FootnoteReference"/>
        </w:rPr>
        <w:footnoteRef/>
      </w:r>
      <w:r>
        <w:t xml:space="preserve"> </w:t>
      </w:r>
      <w:r>
        <w:rPr>
          <w:i/>
        </w:rPr>
        <w:t>Id</w:t>
      </w:r>
      <w:r>
        <w:t>. at 492.</w:t>
      </w:r>
    </w:p>
  </w:footnote>
  <w:footnote w:id="18">
    <w:p w:rsidR="00FD287C" w:rsidRPr="00334F9A" w:rsidRDefault="00FD287C" w:rsidP="00F42333">
      <w:pPr>
        <w:pStyle w:val="FootnoteText"/>
      </w:pPr>
      <w:r>
        <w:rPr>
          <w:rStyle w:val="FootnoteReference"/>
        </w:rPr>
        <w:footnoteRef/>
      </w:r>
      <w:r>
        <w:t xml:space="preserve"> </w:t>
      </w:r>
      <w:r>
        <w:rPr>
          <w:i/>
        </w:rPr>
        <w:t>Id</w:t>
      </w:r>
      <w:r>
        <w:t>. at 488-89.</w:t>
      </w:r>
    </w:p>
  </w:footnote>
  <w:footnote w:id="19">
    <w:p w:rsidR="00A04DAE" w:rsidRDefault="00A04DAE">
      <w:pPr>
        <w:pStyle w:val="FootnoteText"/>
      </w:pPr>
      <w:r>
        <w:rPr>
          <w:rStyle w:val="FootnoteReference"/>
        </w:rPr>
        <w:footnoteRef/>
      </w:r>
      <w:r>
        <w:t xml:space="preserve"> So</w:t>
      </w:r>
      <w:r>
        <w:rPr>
          <w:color w:val="0D0F0E"/>
        </w:rPr>
        <w:t>li</w:t>
      </w:r>
      <w:r>
        <w:t>c</w:t>
      </w:r>
      <w:r>
        <w:rPr>
          <w:color w:val="1D1F1F"/>
        </w:rPr>
        <w:t>it</w:t>
      </w:r>
      <w:r>
        <w:t>o</w:t>
      </w:r>
      <w:r>
        <w:rPr>
          <w:color w:val="1D1F1F"/>
        </w:rPr>
        <w:t xml:space="preserve">r’s </w:t>
      </w:r>
      <w:r>
        <w:t>Op</w:t>
      </w:r>
      <w:r>
        <w:rPr>
          <w:color w:val="0D0F0E"/>
        </w:rPr>
        <w:t>ini</w:t>
      </w:r>
      <w:r>
        <w:t>o</w:t>
      </w:r>
      <w:r>
        <w:rPr>
          <w:color w:val="1D1F1F"/>
        </w:rPr>
        <w:t xml:space="preserve">n </w:t>
      </w:r>
      <w:r>
        <w:rPr>
          <w:color w:val="2E3030"/>
        </w:rPr>
        <w:t>M-3704</w:t>
      </w:r>
      <w:r>
        <w:rPr>
          <w:color w:val="0D0F0E"/>
        </w:rPr>
        <w:t>1―</w:t>
      </w:r>
      <w:r>
        <w:rPr>
          <w:i/>
          <w:color w:val="1D1F1F"/>
        </w:rPr>
        <w:t>In</w:t>
      </w:r>
      <w:r>
        <w:rPr>
          <w:i/>
        </w:rPr>
        <w:t>cidental Take</w:t>
      </w:r>
      <w:r>
        <w:rPr>
          <w:color w:val="0D0F0E"/>
        </w:rPr>
        <w:t xml:space="preserve"> </w:t>
      </w:r>
      <w:r>
        <w:rPr>
          <w:i/>
          <w:color w:val="2E3030"/>
        </w:rPr>
        <w:t xml:space="preserve">Prohibited </w:t>
      </w:r>
      <w:r>
        <w:rPr>
          <w:i/>
        </w:rPr>
        <w:t xml:space="preserve">Under </w:t>
      </w:r>
      <w:r>
        <w:rPr>
          <w:i/>
          <w:color w:val="2E3030"/>
        </w:rPr>
        <w:t xml:space="preserve">the </w:t>
      </w:r>
      <w:r>
        <w:rPr>
          <w:i/>
        </w:rPr>
        <w:t>Mig</w:t>
      </w:r>
      <w:r>
        <w:rPr>
          <w:i/>
          <w:color w:val="1D1F1F"/>
        </w:rPr>
        <w:t>r</w:t>
      </w:r>
      <w:r>
        <w:rPr>
          <w:i/>
        </w:rPr>
        <w:t xml:space="preserve">atory </w:t>
      </w:r>
      <w:r>
        <w:rPr>
          <w:i/>
          <w:color w:val="2E3030"/>
        </w:rPr>
        <w:t xml:space="preserve">Bird </w:t>
      </w:r>
      <w:r>
        <w:rPr>
          <w:i/>
        </w:rPr>
        <w:t>Treaty Act</w:t>
      </w:r>
      <w:r>
        <w:t xml:space="preserve"> (Jan. 12, 2017), available </w:t>
      </w:r>
      <w:r w:rsidR="00157F04">
        <w:t xml:space="preserve">at </w:t>
      </w:r>
      <w:r w:rsidR="00157F04" w:rsidRPr="00157F04">
        <w:t>https://www.eenews.net/assets/2017/02/21/document_ew_01.pdf</w:t>
      </w:r>
      <w:r w:rsidR="00157F04">
        <w:t xml:space="preserve"> (last visited Sept. 28, 2018) </w:t>
      </w:r>
      <w:r>
        <w:t>.</w:t>
      </w:r>
    </w:p>
  </w:footnote>
  <w:footnote w:id="20">
    <w:p w:rsidR="00FD287C" w:rsidRDefault="00FD287C" w:rsidP="00F42333">
      <w:pPr>
        <w:pStyle w:val="FootnoteText"/>
      </w:pPr>
      <w:r>
        <w:rPr>
          <w:rStyle w:val="FootnoteReference"/>
        </w:rPr>
        <w:footnoteRef/>
      </w:r>
      <w:r>
        <w:t xml:space="preserve"> </w:t>
      </w:r>
      <w:r w:rsidR="00F42333">
        <w:rPr>
          <w:i/>
        </w:rPr>
        <w:t>Id.</w:t>
      </w:r>
      <w:r>
        <w:t xml:space="preserve"> at 2</w:t>
      </w:r>
      <w:r w:rsidR="00F42333">
        <w:t>.</w:t>
      </w:r>
      <w:r>
        <w:t xml:space="preserve"> </w:t>
      </w:r>
    </w:p>
  </w:footnote>
  <w:footnote w:id="21">
    <w:p w:rsidR="00FD287C" w:rsidRDefault="00FD287C" w:rsidP="00F42333">
      <w:pPr>
        <w:pStyle w:val="FootnoteText"/>
      </w:pPr>
      <w:r>
        <w:rPr>
          <w:rStyle w:val="FootnoteReference"/>
        </w:rPr>
        <w:footnoteRef/>
      </w:r>
      <w:r>
        <w:t xml:space="preserve"> Temporary Suspension of Certain Solicitor M-Opinions Pending Review (Feb. 6, 2017)</w:t>
      </w:r>
      <w:r w:rsidR="00F42333">
        <w:t>,</w:t>
      </w:r>
      <w:r>
        <w:t xml:space="preserve"> </w:t>
      </w:r>
      <w:r>
        <w:rPr>
          <w:iCs/>
          <w:color w:val="3F4242"/>
          <w:szCs w:val="22"/>
        </w:rPr>
        <w:t xml:space="preserve">available at </w:t>
      </w:r>
      <w:r w:rsidR="00157F04" w:rsidRPr="00157F04">
        <w:rPr>
          <w:iCs/>
          <w:color w:val="3F4242"/>
          <w:szCs w:val="22"/>
        </w:rPr>
        <w:t>https://www.doi.gov/solicitor/opinions/</w:t>
      </w:r>
      <w:r w:rsidR="00157F04">
        <w:rPr>
          <w:iCs/>
          <w:color w:val="3F4242"/>
          <w:szCs w:val="22"/>
        </w:rPr>
        <w:t xml:space="preserve"> (last visited Sept. 28, 2018)</w:t>
      </w:r>
      <w:r>
        <w:rPr>
          <w:iCs/>
          <w:color w:val="3F4242"/>
          <w:szCs w:val="22"/>
        </w:rPr>
        <w:t>.</w:t>
      </w:r>
    </w:p>
  </w:footnote>
  <w:footnote w:id="22">
    <w:p w:rsidR="00FD287C" w:rsidRDefault="00FD287C" w:rsidP="00F42333">
      <w:pPr>
        <w:pStyle w:val="FootnoteText"/>
      </w:pPr>
      <w:r>
        <w:rPr>
          <w:rStyle w:val="FootnoteReference"/>
        </w:rPr>
        <w:footnoteRef/>
      </w:r>
      <w:r>
        <w:t xml:space="preserve"> Solicitor’s Opinion M-37050</w:t>
      </w:r>
      <w:r>
        <w:rPr>
          <w:color w:val="0D0F0E"/>
        </w:rPr>
        <w:t>―</w:t>
      </w:r>
      <w:r>
        <w:rPr>
          <w:i/>
          <w:color w:val="1D1F1F"/>
        </w:rPr>
        <w:t>T</w:t>
      </w:r>
      <w:r>
        <w:rPr>
          <w:i/>
          <w:color w:val="2E3030"/>
        </w:rPr>
        <w:t xml:space="preserve">he </w:t>
      </w:r>
      <w:r>
        <w:rPr>
          <w:i/>
        </w:rPr>
        <w:t>Mig</w:t>
      </w:r>
      <w:r>
        <w:rPr>
          <w:i/>
          <w:color w:val="1D1F1F"/>
        </w:rPr>
        <w:t>r</w:t>
      </w:r>
      <w:r>
        <w:rPr>
          <w:i/>
        </w:rPr>
        <w:t xml:space="preserve">atory </w:t>
      </w:r>
      <w:r>
        <w:rPr>
          <w:i/>
          <w:color w:val="2E3030"/>
        </w:rPr>
        <w:t xml:space="preserve">Bird </w:t>
      </w:r>
      <w:r>
        <w:rPr>
          <w:i/>
        </w:rPr>
        <w:t>Treaty Act Does Not Prohibit Incidental Take</w:t>
      </w:r>
      <w:r>
        <w:t xml:space="preserve"> (Dec. 22, 2017), available at </w:t>
      </w:r>
      <w:r w:rsidR="00157F04" w:rsidRPr="00157F04">
        <w:t>https://www.doi.gov/solicitor/opinions/</w:t>
      </w:r>
      <w:r w:rsidR="00157F04">
        <w:t xml:space="preserve"> </w:t>
      </w:r>
      <w:r w:rsidR="00157F04">
        <w:rPr>
          <w:iCs/>
          <w:color w:val="3F4242"/>
          <w:szCs w:val="22"/>
        </w:rPr>
        <w:t>(last visited Sept. 28, 2018).</w:t>
      </w:r>
    </w:p>
  </w:footnote>
  <w:footnote w:id="23">
    <w:p w:rsidR="00FD287C" w:rsidRDefault="00FD287C" w:rsidP="00F42333">
      <w:pPr>
        <w:pStyle w:val="FootnoteText"/>
      </w:pPr>
      <w:r>
        <w:rPr>
          <w:rStyle w:val="FootnoteReference"/>
        </w:rPr>
        <w:footnoteRef/>
      </w:r>
      <w:r>
        <w:t xml:space="preserve"> </w:t>
      </w:r>
      <w:r>
        <w:rPr>
          <w:i/>
        </w:rPr>
        <w:t xml:space="preserve">Id. </w:t>
      </w:r>
      <w:r>
        <w:rPr>
          <w:iCs/>
          <w:color w:val="3F4242"/>
        </w:rPr>
        <w:t>at 2.</w:t>
      </w:r>
    </w:p>
  </w:footnote>
  <w:footnote w:id="24">
    <w:p w:rsidR="00FD287C" w:rsidRPr="00157F04" w:rsidRDefault="00FD287C" w:rsidP="00F42333">
      <w:pPr>
        <w:pStyle w:val="FootnoteText"/>
      </w:pPr>
      <w:r w:rsidRPr="00157F04">
        <w:rPr>
          <w:rStyle w:val="FootnoteReference"/>
        </w:rPr>
        <w:footnoteRef/>
      </w:r>
      <w:r w:rsidRPr="00157F04">
        <w:t xml:space="preserve"> </w:t>
      </w:r>
      <w:r w:rsidR="00157F04" w:rsidRPr="00157F04">
        <w:t xml:space="preserve">Complaint for Declaratory and Injunctive Relief, </w:t>
      </w:r>
      <w:r w:rsidRPr="00157F04">
        <w:rPr>
          <w:i/>
        </w:rPr>
        <w:t>Nat’l Audubon Soc’y v. U.S. Dep’t of Interior</w:t>
      </w:r>
      <w:r w:rsidRPr="00157F04">
        <w:t xml:space="preserve">, No. 1:18-cv-04601 (S.D.N.Y. </w:t>
      </w:r>
      <w:r w:rsidR="00157F04" w:rsidRPr="00157F04">
        <w:t xml:space="preserve">May 24, </w:t>
      </w:r>
      <w:r w:rsidRPr="00157F04">
        <w:t>2018).</w:t>
      </w:r>
    </w:p>
  </w:footnote>
  <w:footnote w:id="25">
    <w:p w:rsidR="00FD287C" w:rsidRPr="00157F04" w:rsidRDefault="00FD287C" w:rsidP="00F42333">
      <w:pPr>
        <w:pStyle w:val="FootnoteText"/>
      </w:pPr>
      <w:r w:rsidRPr="00157F04">
        <w:rPr>
          <w:rStyle w:val="FootnoteReference"/>
        </w:rPr>
        <w:footnoteRef/>
      </w:r>
      <w:r w:rsidRPr="00157F04">
        <w:t xml:space="preserve"> </w:t>
      </w:r>
      <w:r w:rsidR="00157F04" w:rsidRPr="00157F04">
        <w:t>Complaint for Declaratory and Injunctive Relief,</w:t>
      </w:r>
      <w:r w:rsidR="00157F04" w:rsidRPr="00157F04">
        <w:rPr>
          <w:i/>
        </w:rPr>
        <w:t xml:space="preserve"> </w:t>
      </w:r>
      <w:r w:rsidRPr="00157F04">
        <w:rPr>
          <w:i/>
        </w:rPr>
        <w:t>Natural Res. Def. Council v. U.S. Dep’t of Interior</w:t>
      </w:r>
      <w:r w:rsidRPr="00157F04">
        <w:t xml:space="preserve">, No. 1:18-cv-04596 (S.D.N.Y. </w:t>
      </w:r>
      <w:r w:rsidR="00157F04" w:rsidRPr="00157F04">
        <w:t xml:space="preserve">May 24, </w:t>
      </w:r>
      <w:r w:rsidRPr="00157F04">
        <w:t>2018).</w:t>
      </w:r>
    </w:p>
  </w:footnote>
  <w:footnote w:id="26">
    <w:p w:rsidR="00320DCB" w:rsidRPr="00320DCB" w:rsidRDefault="00320DCB" w:rsidP="00F42333">
      <w:pPr>
        <w:pStyle w:val="FootnoteText"/>
      </w:pPr>
      <w:r w:rsidRPr="00157F04">
        <w:rPr>
          <w:rStyle w:val="FootnoteReference"/>
        </w:rPr>
        <w:footnoteRef/>
      </w:r>
      <w:r w:rsidRPr="00157F04">
        <w:t xml:space="preserve"> </w:t>
      </w:r>
      <w:r w:rsidR="00157F04" w:rsidRPr="00157F04">
        <w:t>Complaint for Declaratory and Injunctive Relief,</w:t>
      </w:r>
      <w:r w:rsidR="00157F04" w:rsidRPr="00157F04">
        <w:rPr>
          <w:i/>
        </w:rPr>
        <w:t xml:space="preserve"> </w:t>
      </w:r>
      <w:r w:rsidRPr="00157F04">
        <w:rPr>
          <w:i/>
        </w:rPr>
        <w:t>New York v. U.S. Dep’t of Interior</w:t>
      </w:r>
      <w:r w:rsidRPr="00157F04">
        <w:t xml:space="preserve">, No. 1:18-cv-08084 (S.D.N.Y. </w:t>
      </w:r>
      <w:r w:rsidR="00157F04" w:rsidRPr="00157F04">
        <w:t xml:space="preserve">Sept. 5, </w:t>
      </w:r>
      <w:r w:rsidRPr="00157F04">
        <w:t>2018).</w:t>
      </w:r>
      <w:r>
        <w:t xml:space="preserve"> The eight states are New York, California, Illinois, Maryland, Massachusetts, New Jersey, New Mexico, and Oregon.</w:t>
      </w:r>
    </w:p>
  </w:footnote>
  <w:footnote w:id="27">
    <w:p w:rsidR="00FD287C" w:rsidRPr="004B5FDD" w:rsidRDefault="00FD287C" w:rsidP="00F42333">
      <w:pPr>
        <w:pStyle w:val="FootnoteText"/>
      </w:pPr>
      <w:r>
        <w:rPr>
          <w:rStyle w:val="FootnoteReference"/>
        </w:rPr>
        <w:footnoteRef/>
      </w:r>
      <w:r>
        <w:t xml:space="preserve"> The M-Opinion does not change the protections that migratory birds listed under the Endangered Species Act or the Bald and Golden Eagle Protection </w:t>
      </w:r>
      <w:r w:rsidRPr="00FD7685">
        <w:t>Act</w:t>
      </w:r>
      <w:r>
        <w:t xml:space="preserve"> receive, so unauthorized incidental take of those species may still be the subject of a prosecution under those acts. </w:t>
      </w:r>
    </w:p>
  </w:footnote>
  <w:footnote w:id="28">
    <w:p w:rsidR="00FD287C" w:rsidRPr="00FD7685" w:rsidRDefault="00FD287C" w:rsidP="00F42333">
      <w:pPr>
        <w:pStyle w:val="FootnoteText"/>
        <w:rPr>
          <w:i/>
        </w:rPr>
      </w:pPr>
      <w:r>
        <w:rPr>
          <w:rStyle w:val="FootnoteReference"/>
        </w:rPr>
        <w:footnoteRef/>
      </w:r>
      <w:r>
        <w:t xml:space="preserve"> U.S. Fish and Wildlife Service, </w:t>
      </w:r>
      <w:r w:rsidRPr="004B5FDD">
        <w:t>Guidance on the recent M-Opinion affecting the Migratory Bird Treaty Act</w:t>
      </w:r>
      <w:r w:rsidR="00FD7685">
        <w:t xml:space="preserve"> at 1 (April 11, 2018), </w:t>
      </w:r>
      <w:r w:rsidR="00FD7685">
        <w:rPr>
          <w:i/>
        </w:rPr>
        <w:t xml:space="preserve">available at </w:t>
      </w:r>
      <w:r w:rsidR="00157F04" w:rsidRPr="00157F04">
        <w:t>https://theiwrc.org/wp-content/uploads/2018/05/m-opinion-memo.pdf</w:t>
      </w:r>
      <w:r w:rsidR="00157F04">
        <w:t xml:space="preserve"> </w:t>
      </w:r>
      <w:r w:rsidR="00157F04">
        <w:rPr>
          <w:iCs/>
          <w:color w:val="3F4242"/>
          <w:szCs w:val="22"/>
        </w:rPr>
        <w:t>(last visited Sept. 28, 2018)</w:t>
      </w:r>
      <w:r w:rsidR="00FD7685">
        <w:t>.</w:t>
      </w:r>
    </w:p>
  </w:footnote>
  <w:footnote w:id="29">
    <w:p w:rsidR="00320DCB" w:rsidRDefault="00320DCB" w:rsidP="00F42333">
      <w:pPr>
        <w:pStyle w:val="FootnoteText"/>
      </w:pPr>
      <w:r>
        <w:rPr>
          <w:rStyle w:val="FootnoteReference"/>
        </w:rPr>
        <w:footnoteRef/>
      </w:r>
      <w:r>
        <w:t xml:space="preserve"> </w:t>
      </w:r>
      <w:r w:rsidR="00CF5E45">
        <w:t xml:space="preserve">Notice of Intent, Migratory Bird Permits; Programmatic Environmental Impact Statement, 80 Fed. Reg. </w:t>
      </w:r>
      <w:r w:rsidR="00CF5E45" w:rsidRPr="00CF5E45">
        <w:t>30</w:t>
      </w:r>
      <w:r w:rsidR="00CF5E45">
        <w:t>,</w:t>
      </w:r>
      <w:r w:rsidR="00CF5E45" w:rsidRPr="00CF5E45">
        <w:t>032</w:t>
      </w:r>
      <w:r w:rsidR="00CF5E45">
        <w:t xml:space="preserve"> (May 26, 2015).</w:t>
      </w:r>
    </w:p>
  </w:footnote>
  <w:footnote w:id="30">
    <w:p w:rsidR="00CF5E45" w:rsidRDefault="00CF5E45" w:rsidP="00F42333">
      <w:pPr>
        <w:pStyle w:val="FootnoteText"/>
      </w:pPr>
      <w:r>
        <w:rPr>
          <w:rStyle w:val="FootnoteReference"/>
        </w:rPr>
        <w:footnoteRef/>
      </w:r>
      <w:r>
        <w:t xml:space="preserve"> Announcement, Migratory Bird Permits; Programmatic Environmental Impact Statement, 83 Fed. Reg. </w:t>
      </w:r>
      <w:r w:rsidRPr="00CF5E45">
        <w:t>24</w:t>
      </w:r>
      <w:r>
        <w:t>,</w:t>
      </w:r>
      <w:r w:rsidRPr="00CF5E45">
        <w:t>080</w:t>
      </w:r>
      <w:r>
        <w:t xml:space="preserve"> (May 24, 2018).</w:t>
      </w:r>
    </w:p>
  </w:footnote>
  <w:footnote w:id="31">
    <w:p w:rsidR="00FD287C" w:rsidRPr="005917B2" w:rsidRDefault="00FD287C" w:rsidP="00F42333">
      <w:pPr>
        <w:pStyle w:val="FootnoteText"/>
      </w:pPr>
      <w:r>
        <w:rPr>
          <w:rStyle w:val="FootnoteReference"/>
        </w:rPr>
        <w:footnoteRef/>
      </w:r>
      <w:r>
        <w:t xml:space="preserve"> Secretary’s Order 3330, </w:t>
      </w:r>
      <w:r w:rsidRPr="005917B2">
        <w:t>Improving Mitigation Policies and Practices of the Department of the Interior</w:t>
      </w:r>
      <w:r>
        <w:t xml:space="preserve"> at 1 (October 31, 2013).</w:t>
      </w:r>
    </w:p>
  </w:footnote>
  <w:footnote w:id="32">
    <w:p w:rsidR="00F42333" w:rsidRDefault="00F42333" w:rsidP="00F42333">
      <w:pPr>
        <w:pStyle w:val="FootnoteText"/>
      </w:pPr>
      <w:r>
        <w:rPr>
          <w:rStyle w:val="FootnoteReference"/>
        </w:rPr>
        <w:footnoteRef/>
      </w:r>
      <w:r>
        <w:t xml:space="preserve"> Available at </w:t>
      </w:r>
      <w:r w:rsidR="00157F04" w:rsidRPr="00157F04">
        <w:t>https://www.doi.gov/news/upload/Mitigation-Report-to-the-Secretary_FINAL_04_08_14.pdf</w:t>
      </w:r>
      <w:r w:rsidR="00157F04">
        <w:t xml:space="preserve"> </w:t>
      </w:r>
      <w:r w:rsidR="00157F04">
        <w:rPr>
          <w:iCs/>
          <w:color w:val="3F4242"/>
          <w:szCs w:val="22"/>
        </w:rPr>
        <w:t>(last visited Sept. 28, 2018).</w:t>
      </w:r>
    </w:p>
  </w:footnote>
  <w:footnote w:id="33">
    <w:p w:rsidR="00F42333" w:rsidRPr="00F42333" w:rsidRDefault="00F42333" w:rsidP="00F42333">
      <w:pPr>
        <w:pStyle w:val="FootnoteText"/>
      </w:pPr>
      <w:r>
        <w:rPr>
          <w:rStyle w:val="FootnoteReference"/>
        </w:rPr>
        <w:footnoteRef/>
      </w:r>
      <w:r>
        <w:t xml:space="preserve"> Available at </w:t>
      </w:r>
      <w:r w:rsidR="00157F04" w:rsidRPr="00157F04">
        <w:t>https://obamawhitehouse.archives.gov/the-press-office/2015/11/03/mitigating-impacts-natural-resources-development-and-encouraging-related</w:t>
      </w:r>
      <w:r w:rsidR="00157F04">
        <w:t xml:space="preserve"> </w:t>
      </w:r>
      <w:r w:rsidR="00157F04">
        <w:rPr>
          <w:iCs/>
          <w:color w:val="3F4242"/>
          <w:szCs w:val="22"/>
        </w:rPr>
        <w:t>(last visited Sept. 28, 2018).</w:t>
      </w:r>
    </w:p>
  </w:footnote>
  <w:footnote w:id="34">
    <w:p w:rsidR="00FD287C" w:rsidRDefault="00FD287C" w:rsidP="00F42333">
      <w:pPr>
        <w:pStyle w:val="FootnoteText"/>
      </w:pPr>
      <w:r w:rsidRPr="00BE4126">
        <w:rPr>
          <w:rStyle w:val="FootnoteReference"/>
        </w:rPr>
        <w:footnoteRef/>
      </w:r>
      <w:r w:rsidRPr="00BE4126">
        <w:t xml:space="preserve"> </w:t>
      </w:r>
      <w:r w:rsidRPr="00BF1673">
        <w:t>Presidential</w:t>
      </w:r>
      <w:r w:rsidRPr="00BE4126">
        <w:t xml:space="preserve"> Memorandum § 3(b</w:t>
      </w:r>
      <w:r>
        <w:t>).</w:t>
      </w:r>
    </w:p>
  </w:footnote>
  <w:footnote w:id="35">
    <w:p w:rsidR="00FD287C" w:rsidRPr="00BE4126" w:rsidRDefault="00FD287C" w:rsidP="00F42333">
      <w:pPr>
        <w:pStyle w:val="FootnoteText"/>
      </w:pPr>
      <w:r>
        <w:rPr>
          <w:rStyle w:val="FootnoteReference"/>
        </w:rPr>
        <w:footnoteRef/>
      </w:r>
      <w:r>
        <w:t xml:space="preserve"> </w:t>
      </w:r>
      <w:r>
        <w:rPr>
          <w:i/>
        </w:rPr>
        <w:t>Id</w:t>
      </w:r>
      <w:r>
        <w:t xml:space="preserve">. </w:t>
      </w:r>
    </w:p>
  </w:footnote>
  <w:footnote w:id="36">
    <w:p w:rsidR="00FD287C" w:rsidRDefault="00FD287C" w:rsidP="00F42333">
      <w:pPr>
        <w:pStyle w:val="FootnoteText"/>
      </w:pPr>
      <w:r>
        <w:rPr>
          <w:rStyle w:val="FootnoteReference"/>
        </w:rPr>
        <w:footnoteRef/>
      </w:r>
      <w:r>
        <w:t xml:space="preserve"> </w:t>
      </w:r>
      <w:r w:rsidRPr="00C33D7D">
        <w:t>Part 600, Chapter 6: Landscape-Scale Mitigation</w:t>
      </w:r>
      <w:r>
        <w:t xml:space="preserve"> </w:t>
      </w:r>
      <w:r w:rsidRPr="00C33D7D">
        <w:t>Policy</w:t>
      </w:r>
      <w:r>
        <w:t xml:space="preserve"> (Oct. 23, 2015).</w:t>
      </w:r>
    </w:p>
  </w:footnote>
  <w:footnote w:id="37">
    <w:p w:rsidR="00FD287C" w:rsidRPr="00BF1673" w:rsidRDefault="00FD287C" w:rsidP="00F42333">
      <w:pPr>
        <w:pStyle w:val="FootnoteText"/>
      </w:pPr>
      <w:r>
        <w:rPr>
          <w:rStyle w:val="FootnoteReference"/>
        </w:rPr>
        <w:footnoteRef/>
      </w:r>
      <w:r>
        <w:t xml:space="preserve"> U.S. Fish and Wildlife Service Mitigation Policy, 81 Fed. Reg. </w:t>
      </w:r>
      <w:r w:rsidRPr="00BF1673">
        <w:t>83</w:t>
      </w:r>
      <w:r>
        <w:t>,</w:t>
      </w:r>
      <w:r w:rsidRPr="00BF1673">
        <w:t>440</w:t>
      </w:r>
      <w:r>
        <w:t xml:space="preserve"> (Nov. 21, 2016). </w:t>
      </w:r>
    </w:p>
  </w:footnote>
  <w:footnote w:id="38">
    <w:p w:rsidR="00FD287C" w:rsidRDefault="00FD287C" w:rsidP="00F42333">
      <w:pPr>
        <w:pStyle w:val="FootnoteText"/>
      </w:pPr>
      <w:r>
        <w:rPr>
          <w:rStyle w:val="FootnoteReference"/>
        </w:rPr>
        <w:footnoteRef/>
      </w:r>
      <w:r>
        <w:t xml:space="preserve"> </w:t>
      </w:r>
      <w:r w:rsidRPr="00BF1673">
        <w:rPr>
          <w:rStyle w:val="FootnoteTextChar"/>
        </w:rPr>
        <w:t>Endangered Species Act Compensatory Mitigation Policy</w:t>
      </w:r>
      <w:r>
        <w:rPr>
          <w:rStyle w:val="FootnoteTextChar"/>
        </w:rPr>
        <w:t xml:space="preserve">, 81 </w:t>
      </w:r>
      <w:r w:rsidRPr="00BF1673">
        <w:rPr>
          <w:rStyle w:val="FootnoteTextChar"/>
        </w:rPr>
        <w:t>Fed. Reg. 95</w:t>
      </w:r>
      <w:r>
        <w:rPr>
          <w:rStyle w:val="FootnoteTextChar"/>
        </w:rPr>
        <w:t>,</w:t>
      </w:r>
      <w:r w:rsidRPr="00BF1673">
        <w:rPr>
          <w:rStyle w:val="FootnoteTextChar"/>
        </w:rPr>
        <w:t>316</w:t>
      </w:r>
      <w:r>
        <w:rPr>
          <w:rStyle w:val="FootnoteTextChar"/>
        </w:rPr>
        <w:t xml:space="preserve"> (Dec. 27, 2016).</w:t>
      </w:r>
    </w:p>
  </w:footnote>
  <w:footnote w:id="39">
    <w:p w:rsidR="00FD287C" w:rsidRPr="00A74B99" w:rsidRDefault="00FD287C" w:rsidP="00F42333">
      <w:pPr>
        <w:pStyle w:val="FootnoteText"/>
      </w:pPr>
      <w:r>
        <w:rPr>
          <w:rStyle w:val="FootnoteReference"/>
        </w:rPr>
        <w:footnoteRef/>
      </w:r>
      <w:r>
        <w:t xml:space="preserve"> </w:t>
      </w:r>
      <w:r w:rsidRPr="00BF1673">
        <w:t xml:space="preserve">Manual MS-1794 – Mitigation </w:t>
      </w:r>
      <w:r w:rsidR="00B17CCC">
        <w:t xml:space="preserve">(P) </w:t>
      </w:r>
      <w:r w:rsidRPr="00BF1673">
        <w:t>(Rel. 1-1782)</w:t>
      </w:r>
      <w:r w:rsidR="00B17CCC">
        <w:t xml:space="preserve">, available at </w:t>
      </w:r>
      <w:r w:rsidR="00157F04" w:rsidRPr="00157F04">
        <w:t>https://edit.blm.gov/sites/blm.gov/files/uploads/BLM_MS-1794%20Mitigation%20FINAL.docx</w:t>
      </w:r>
      <w:r w:rsidR="00157F04">
        <w:t xml:space="preserve"> </w:t>
      </w:r>
      <w:r w:rsidR="00157F04">
        <w:rPr>
          <w:iCs/>
          <w:color w:val="3F4242"/>
          <w:szCs w:val="22"/>
        </w:rPr>
        <w:t>(last visited Sept. 28, 2018)</w:t>
      </w:r>
      <w:r>
        <w:t xml:space="preserve">; </w:t>
      </w:r>
      <w:r w:rsidRPr="00BF1673">
        <w:t>Handbook H-1794-1 Mitigation (P) (Rel. 1-1783)</w:t>
      </w:r>
      <w:r w:rsidR="00B17CCC">
        <w:t xml:space="preserve">, available at </w:t>
      </w:r>
      <w:r w:rsidR="00157F04" w:rsidRPr="00157F04">
        <w:t>https://www.blm.gov/sites/blm.gov/files/uploads/BLM%20H-1794-1%20Mitigation%20FINAL.docx</w:t>
      </w:r>
      <w:r w:rsidR="00157F04">
        <w:t xml:space="preserve"> </w:t>
      </w:r>
      <w:r w:rsidR="00157F04">
        <w:rPr>
          <w:iCs/>
          <w:color w:val="3F4242"/>
          <w:szCs w:val="22"/>
        </w:rPr>
        <w:t>(last visited Sept. 28, 2018).</w:t>
      </w:r>
      <w:r>
        <w:t xml:space="preserve"> Despite the direction in the Presidential Memorandum, the Forest Service did not finalize any mitigation policy; it only </w:t>
      </w:r>
      <w:r w:rsidR="00B17CCC">
        <w:t xml:space="preserve">proceeded </w:t>
      </w:r>
      <w:r>
        <w:t xml:space="preserve">as far as </w:t>
      </w:r>
      <w:r w:rsidR="00B17CCC">
        <w:t xml:space="preserve">requesting </w:t>
      </w:r>
      <w:r>
        <w:t>information for developing its policy</w:t>
      </w:r>
      <w:r w:rsidR="00CC6BEE">
        <w:t xml:space="preserve">. </w:t>
      </w:r>
      <w:r>
        <w:rPr>
          <w:i/>
        </w:rPr>
        <w:t xml:space="preserve">See </w:t>
      </w:r>
      <w:r w:rsidRPr="00A74B99">
        <w:t>Mitigation of Adverse Impacts</w:t>
      </w:r>
      <w:r>
        <w:t xml:space="preserve">, Request for Information, 81 Fed. Reg. </w:t>
      </w:r>
      <w:r w:rsidRPr="00A74B99">
        <w:t>17</w:t>
      </w:r>
      <w:r>
        <w:t>,</w:t>
      </w:r>
      <w:r w:rsidRPr="00A74B99">
        <w:t>136</w:t>
      </w:r>
      <w:r>
        <w:t xml:space="preserve"> (March 28, 2016).</w:t>
      </w:r>
    </w:p>
  </w:footnote>
  <w:footnote w:id="40">
    <w:p w:rsidR="00FD287C" w:rsidRPr="008926AA" w:rsidRDefault="00FD287C" w:rsidP="008926AA">
      <w:pPr>
        <w:pStyle w:val="FootnoteText"/>
      </w:pPr>
      <w:r>
        <w:rPr>
          <w:rStyle w:val="FootnoteReference"/>
        </w:rPr>
        <w:footnoteRef/>
      </w:r>
      <w:r>
        <w:t xml:space="preserve"> </w:t>
      </w:r>
      <w:r w:rsidR="008926AA">
        <w:t xml:space="preserve">Solicitor’s Opinion, </w:t>
      </w:r>
      <w:r w:rsidR="008926AA" w:rsidRPr="00A74B99">
        <w:t>M-37039</w:t>
      </w:r>
      <w:r w:rsidR="008926AA">
        <w:t>―</w:t>
      </w:r>
      <w:r w:rsidR="008926AA" w:rsidRPr="008926AA">
        <w:rPr>
          <w:i/>
        </w:rPr>
        <w:t>The Bureau of Land Management</w:t>
      </w:r>
      <w:r w:rsidR="008926AA">
        <w:rPr>
          <w:i/>
        </w:rPr>
        <w:t>’</w:t>
      </w:r>
      <w:r w:rsidR="008926AA" w:rsidRPr="008926AA">
        <w:rPr>
          <w:i/>
        </w:rPr>
        <w:t>s Authority to Address Impacts of its Land Use Authorizations through Mitigation</w:t>
      </w:r>
      <w:r w:rsidR="008926AA">
        <w:t xml:space="preserve">, available at </w:t>
      </w:r>
      <w:r w:rsidR="00157F04" w:rsidRPr="00157F04">
        <w:t>https://www.eenews.net/assets/2017/02/21/document_ew_02.pdf</w:t>
      </w:r>
      <w:r w:rsidR="00157F04">
        <w:t xml:space="preserve"> </w:t>
      </w:r>
      <w:r w:rsidR="00157F04">
        <w:rPr>
          <w:iCs/>
          <w:color w:val="3F4242"/>
          <w:szCs w:val="22"/>
        </w:rPr>
        <w:t>(last visited Sept. 28, 2018).</w:t>
      </w:r>
    </w:p>
  </w:footnote>
  <w:footnote w:id="41">
    <w:p w:rsidR="00F42333" w:rsidRDefault="00F42333">
      <w:pPr>
        <w:pStyle w:val="FootnoteText"/>
      </w:pPr>
      <w:r>
        <w:rPr>
          <w:rStyle w:val="FootnoteReference"/>
        </w:rPr>
        <w:footnoteRef/>
      </w:r>
      <w:r>
        <w:t xml:space="preserve"> Available at </w:t>
      </w:r>
      <w:r w:rsidR="00157F04" w:rsidRPr="00157F04">
        <w:t>https://www.whitehouse.gov/presidential-actions/presidential-executive-order-promoting-energy-independence-economic-growth/</w:t>
      </w:r>
      <w:r w:rsidR="00157F04">
        <w:t xml:space="preserve"> </w:t>
      </w:r>
      <w:r w:rsidR="00157F04">
        <w:rPr>
          <w:iCs/>
          <w:color w:val="3F4242"/>
          <w:szCs w:val="22"/>
        </w:rPr>
        <w:t>(last visited Sept. 28, 2018)</w:t>
      </w:r>
      <w:r>
        <w:t>.</w:t>
      </w:r>
    </w:p>
  </w:footnote>
  <w:footnote w:id="42">
    <w:p w:rsidR="00FD287C" w:rsidRDefault="00FD287C" w:rsidP="00F42333">
      <w:pPr>
        <w:pStyle w:val="FootnoteText"/>
      </w:pPr>
      <w:r>
        <w:rPr>
          <w:rStyle w:val="FootnoteReference"/>
        </w:rPr>
        <w:footnoteRef/>
      </w:r>
      <w:r>
        <w:t xml:space="preserve"> </w:t>
      </w:r>
      <w:r w:rsidR="00B17CCC">
        <w:t>Executive Order 13783 § 3(d).</w:t>
      </w:r>
    </w:p>
  </w:footnote>
  <w:footnote w:id="43">
    <w:p w:rsidR="00FD287C" w:rsidRDefault="00FD287C" w:rsidP="00F42333">
      <w:pPr>
        <w:pStyle w:val="FootnoteText"/>
      </w:pPr>
      <w:r>
        <w:rPr>
          <w:rStyle w:val="FootnoteReference"/>
        </w:rPr>
        <w:footnoteRef/>
      </w:r>
      <w:r>
        <w:t xml:space="preserve"> 82 Fed. Reg. </w:t>
      </w:r>
      <w:r w:rsidRPr="00C22161">
        <w:t>51</w:t>
      </w:r>
      <w:r>
        <w:t>,</w:t>
      </w:r>
      <w:r w:rsidRPr="00C22161">
        <w:t>382</w:t>
      </w:r>
      <w:r>
        <w:t xml:space="preserve"> (Nov. 6, 2017)</w:t>
      </w:r>
      <w:r w:rsidR="00157F04">
        <w:t>.</w:t>
      </w:r>
    </w:p>
  </w:footnote>
  <w:footnote w:id="44">
    <w:p w:rsidR="00FD287C" w:rsidRDefault="00FD287C" w:rsidP="0033499E">
      <w:pPr>
        <w:overflowPunct/>
        <w:textAlignment w:val="auto"/>
      </w:pPr>
      <w:r w:rsidRPr="0033499E">
        <w:rPr>
          <w:rStyle w:val="FootnoteReference"/>
          <w:sz w:val="20"/>
          <w:szCs w:val="20"/>
        </w:rPr>
        <w:footnoteRef/>
      </w:r>
      <w:r w:rsidRPr="0033499E">
        <w:rPr>
          <w:sz w:val="20"/>
          <w:szCs w:val="20"/>
        </w:rPr>
        <w:t xml:space="preserve"> </w:t>
      </w:r>
      <w:r w:rsidRPr="0033499E">
        <w:rPr>
          <w:rStyle w:val="FootnoteTextChar"/>
          <w:sz w:val="20"/>
          <w:szCs w:val="20"/>
        </w:rPr>
        <w:t>U.S. Fish and Wildlife Service Mitigation Policy, Withdrawal, 83 Fed. Reg. 36</w:t>
      </w:r>
      <w:r>
        <w:rPr>
          <w:rStyle w:val="FootnoteTextChar"/>
          <w:sz w:val="20"/>
          <w:szCs w:val="20"/>
        </w:rPr>
        <w:t>,</w:t>
      </w:r>
      <w:r w:rsidRPr="0033499E">
        <w:rPr>
          <w:rStyle w:val="FootnoteTextChar"/>
          <w:sz w:val="20"/>
          <w:szCs w:val="20"/>
        </w:rPr>
        <w:t>472 (July 30, 2018); Endangered Species Act Compensatory Mitigation Policy, Withdrawal, 83 Fed. Reg. 36,469 (July 30, 2018)</w:t>
      </w:r>
      <w:r>
        <w:rPr>
          <w:rStyle w:val="FootnoteTextChar"/>
          <w:sz w:val="20"/>
          <w:szCs w:val="20"/>
        </w:rPr>
        <w:t>.</w:t>
      </w:r>
    </w:p>
  </w:footnote>
  <w:footnote w:id="45">
    <w:p w:rsidR="00F42333" w:rsidRPr="00F42333" w:rsidRDefault="00F42333" w:rsidP="00F42333">
      <w:pPr>
        <w:pStyle w:val="FootnoteText"/>
      </w:pPr>
      <w:r>
        <w:rPr>
          <w:rStyle w:val="FootnoteReference"/>
        </w:rPr>
        <w:footnoteRef/>
      </w:r>
      <w:r>
        <w:t xml:space="preserve"> So</w:t>
      </w:r>
      <w:r>
        <w:rPr>
          <w:color w:val="0D0F0E"/>
        </w:rPr>
        <w:t>li</w:t>
      </w:r>
      <w:r>
        <w:t>c</w:t>
      </w:r>
      <w:r>
        <w:rPr>
          <w:color w:val="1D1F1F"/>
        </w:rPr>
        <w:t>it</w:t>
      </w:r>
      <w:r>
        <w:t>o</w:t>
      </w:r>
      <w:r>
        <w:rPr>
          <w:color w:val="1D1F1F"/>
        </w:rPr>
        <w:t xml:space="preserve">r’s </w:t>
      </w:r>
      <w:r>
        <w:t>Op</w:t>
      </w:r>
      <w:r>
        <w:rPr>
          <w:color w:val="0D0F0E"/>
        </w:rPr>
        <w:t>ini</w:t>
      </w:r>
      <w:r>
        <w:t>o</w:t>
      </w:r>
      <w:r>
        <w:rPr>
          <w:color w:val="1D1F1F"/>
        </w:rPr>
        <w:t xml:space="preserve">n </w:t>
      </w:r>
      <w:r>
        <w:rPr>
          <w:color w:val="2E3030"/>
        </w:rPr>
        <w:t>M-37046</w:t>
      </w:r>
      <w:r w:rsidR="008926AA">
        <w:rPr>
          <w:color w:val="2E3030"/>
        </w:rPr>
        <w:t>―</w:t>
      </w:r>
      <w:r>
        <w:rPr>
          <w:i/>
        </w:rPr>
        <w:t>Withdrawal of M-37039, “</w:t>
      </w:r>
      <w:r w:rsidRPr="00F42333">
        <w:rPr>
          <w:i/>
        </w:rPr>
        <w:t>The Bureau of Land Management's Authority to</w:t>
      </w:r>
      <w:r>
        <w:rPr>
          <w:i/>
        </w:rPr>
        <w:t xml:space="preserve"> </w:t>
      </w:r>
      <w:r w:rsidRPr="00F42333">
        <w:rPr>
          <w:i/>
        </w:rPr>
        <w:t>Address Impacts of its Land Use Au</w:t>
      </w:r>
      <w:r>
        <w:rPr>
          <w:i/>
        </w:rPr>
        <w:t>thorizations Through Mitigation”</w:t>
      </w:r>
      <w:r>
        <w:t xml:space="preserve"> (June 30, 2017), </w:t>
      </w:r>
      <w:r w:rsidR="008926AA">
        <w:t xml:space="preserve">available at </w:t>
      </w:r>
      <w:r w:rsidR="00157F04" w:rsidRPr="00157F04">
        <w:t>https://www.doi.gov/solicitor/opinions</w:t>
      </w:r>
      <w:r w:rsidR="00157F04">
        <w:t xml:space="preserve"> (last visited Sept. 28, 2018)</w:t>
      </w:r>
      <w:r w:rsidR="008926AA">
        <w:t>.</w:t>
      </w:r>
    </w:p>
  </w:footnote>
  <w:footnote w:id="46">
    <w:p w:rsidR="0052205C" w:rsidRPr="0052205C" w:rsidRDefault="0052205C" w:rsidP="00F42333">
      <w:pPr>
        <w:pStyle w:val="FootnoteText"/>
      </w:pPr>
      <w:r>
        <w:rPr>
          <w:rStyle w:val="FootnoteReference"/>
        </w:rPr>
        <w:footnoteRef/>
      </w:r>
      <w:r>
        <w:t xml:space="preserve"> </w:t>
      </w:r>
      <w:r>
        <w:rPr>
          <w:i/>
          <w:iCs/>
        </w:rPr>
        <w:t>See</w:t>
      </w:r>
      <w:r>
        <w:t xml:space="preserve"> 12-</w:t>
      </w:r>
      <w:r w:rsidRPr="0052205C">
        <w:t>Month Findings for Petitions to List the Greater Sage-Grouse, 75 Fed. Reg. 13,910 (Mar. 23, 2010).</w:t>
      </w:r>
    </w:p>
  </w:footnote>
  <w:footnote w:id="47">
    <w:p w:rsidR="000A4A0C" w:rsidRDefault="000A4A0C" w:rsidP="00F42333">
      <w:pPr>
        <w:pStyle w:val="FootnoteText"/>
      </w:pPr>
      <w:r>
        <w:rPr>
          <w:rStyle w:val="FootnoteReference"/>
        </w:rPr>
        <w:footnoteRef/>
      </w:r>
      <w:r>
        <w:t xml:space="preserve"> </w:t>
      </w:r>
      <w:r w:rsidRPr="008926AA">
        <w:rPr>
          <w:i/>
        </w:rPr>
        <w:t>See</w:t>
      </w:r>
      <w:r w:rsidRPr="000A4A0C">
        <w:t xml:space="preserve"> </w:t>
      </w:r>
      <w:r w:rsidRPr="00FD4F9A">
        <w:rPr>
          <w:i/>
        </w:rPr>
        <w:t>In re Endangered Species Act Section 4 Deadline Litigation-MDL No. 2165</w:t>
      </w:r>
      <w:r w:rsidRPr="000A4A0C">
        <w:t>, 704 F.3d 972, 975 (D.C. Cir. 2013).</w:t>
      </w:r>
    </w:p>
  </w:footnote>
  <w:footnote w:id="48">
    <w:p w:rsidR="000A4A0C" w:rsidRDefault="000A4A0C" w:rsidP="00F42333">
      <w:pPr>
        <w:pStyle w:val="FootnoteText"/>
      </w:pPr>
      <w:r>
        <w:rPr>
          <w:rStyle w:val="FootnoteReference"/>
        </w:rPr>
        <w:footnoteRef/>
      </w:r>
      <w:r>
        <w:t xml:space="preserve"> </w:t>
      </w:r>
      <w:r>
        <w:rPr>
          <w:i/>
          <w:iCs/>
        </w:rPr>
        <w:t xml:space="preserve">See </w:t>
      </w:r>
      <w:r w:rsidRPr="00FD4F9A">
        <w:rPr>
          <w:i/>
        </w:rPr>
        <w:t xml:space="preserve">Order Granting Joint Motion for Approval of Settlement Agreement, </w:t>
      </w:r>
      <w:r w:rsidRPr="00FD4F9A">
        <w:rPr>
          <w:i/>
          <w:iCs/>
        </w:rPr>
        <w:t>In re</w:t>
      </w:r>
      <w:r w:rsidRPr="00FD4F9A">
        <w:rPr>
          <w:i/>
        </w:rPr>
        <w:t xml:space="preserve"> Endangered Species Act Section 4 Deadline Litigation</w:t>
      </w:r>
      <w:r>
        <w:t>, No. 1:10-mc-00377-EGS (D.D.C. Sept. 9, 2011).</w:t>
      </w:r>
    </w:p>
  </w:footnote>
  <w:footnote w:id="49">
    <w:p w:rsidR="000A4A0C" w:rsidRPr="000A4A0C" w:rsidRDefault="000A4A0C" w:rsidP="00F42333">
      <w:pPr>
        <w:pStyle w:val="FootnoteText"/>
      </w:pPr>
      <w:r>
        <w:rPr>
          <w:rStyle w:val="FootnoteReference"/>
        </w:rPr>
        <w:footnoteRef/>
      </w:r>
      <w:r>
        <w:t xml:space="preserve"> </w:t>
      </w:r>
      <w:r w:rsidR="008926AA" w:rsidRPr="0052205C">
        <w:t>75 Fed. Reg.</w:t>
      </w:r>
      <w:r w:rsidR="008926AA">
        <w:t xml:space="preserve"> at </w:t>
      </w:r>
      <w:r w:rsidR="008926AA" w:rsidRPr="008926AA">
        <w:t>13</w:t>
      </w:r>
      <w:r w:rsidR="008926AA">
        <w:t>,</w:t>
      </w:r>
      <w:r w:rsidR="008926AA" w:rsidRPr="008926AA">
        <w:t>9</w:t>
      </w:r>
      <w:r w:rsidR="008926AA">
        <w:t>79-</w:t>
      </w:r>
      <w:r w:rsidR="008926AA" w:rsidRPr="008926AA">
        <w:t>80</w:t>
      </w:r>
      <w:r w:rsidR="008926AA">
        <w:t>.</w:t>
      </w:r>
    </w:p>
  </w:footnote>
  <w:footnote w:id="50">
    <w:p w:rsidR="009C20A3" w:rsidRPr="009C20A3" w:rsidRDefault="009C20A3" w:rsidP="00F42333">
      <w:pPr>
        <w:pStyle w:val="FootnoteText"/>
        <w:rPr>
          <w:i/>
        </w:rPr>
      </w:pPr>
      <w:r>
        <w:rPr>
          <w:rStyle w:val="FootnoteReference"/>
        </w:rPr>
        <w:footnoteRef/>
      </w:r>
      <w:r>
        <w:t xml:space="preserve"> </w:t>
      </w:r>
      <w:r>
        <w:rPr>
          <w:i/>
        </w:rPr>
        <w:t xml:space="preserve">See, e.g., </w:t>
      </w:r>
      <w:r>
        <w:t>Notice of Availability of the Record of Decision and Approved Resource Management Plan Amendments for the Great Basin Region Greater Sage-Grouse Sub-Regions of Idaho and Southwestern Montana; Nevada and Northeastern California; Oregon; and Utah, 80 Fed. Reg. 57,633 (Sept. 24, 2015)</w:t>
      </w:r>
      <w:r w:rsidR="00CC6BEE">
        <w:t xml:space="preserve">. </w:t>
      </w:r>
    </w:p>
  </w:footnote>
  <w:footnote w:id="51">
    <w:p w:rsidR="009C20A3" w:rsidRDefault="009C20A3" w:rsidP="00F42333">
      <w:pPr>
        <w:pStyle w:val="FootnoteText"/>
      </w:pPr>
      <w:r>
        <w:rPr>
          <w:rStyle w:val="FootnoteReference"/>
        </w:rPr>
        <w:footnoteRef/>
      </w:r>
      <w:r>
        <w:t xml:space="preserve"> Endangered and Threatened Wildlife and Plants; 12-Month Finding on a Petition </w:t>
      </w:r>
      <w:r w:rsidR="00CC6BEE">
        <w:t>to</w:t>
      </w:r>
      <w:r>
        <w:t xml:space="preserve"> List Greater Sage-Grouse (Centrocercus urophasianus) as an Endangered or Threatened Species, 80 Fed. Reg. 59, 858 (Oct. 2, 2015).</w:t>
      </w:r>
    </w:p>
  </w:footnote>
  <w:footnote w:id="52">
    <w:p w:rsidR="009C20A3" w:rsidRDefault="009C20A3" w:rsidP="00F42333">
      <w:pPr>
        <w:pStyle w:val="FootnoteText"/>
      </w:pPr>
      <w:r>
        <w:rPr>
          <w:rStyle w:val="FootnoteReference"/>
        </w:rPr>
        <w:footnoteRef/>
      </w:r>
      <w:r>
        <w:t xml:space="preserve"> </w:t>
      </w:r>
      <w:r>
        <w:rPr>
          <w:i/>
        </w:rPr>
        <w:t>See, e.g.</w:t>
      </w:r>
      <w:r>
        <w:t xml:space="preserve">, </w:t>
      </w:r>
      <w:r w:rsidRPr="009C20A3">
        <w:rPr>
          <w:i/>
        </w:rPr>
        <w:t>Western Exploration LLC v. U.S. Dep’t of the Interior</w:t>
      </w:r>
      <w:r>
        <w:t xml:space="preserve">, 250 F. Supp. 3d 718 (D. Nev. 2017) (holding that Interior failed to comply with the National Environmental Policy Act in preparation of the land use plans, but declining to issue an injunction pending remand); </w:t>
      </w:r>
      <w:r w:rsidRPr="009C20A3">
        <w:rPr>
          <w:i/>
        </w:rPr>
        <w:t>Otter v. Jewell</w:t>
      </w:r>
      <w:r>
        <w:t xml:space="preserve">, 227 F. Supp. 3d 117 (D.D.C. 2017) (dismissing challenge for lack of subject matter jurisdiction); </w:t>
      </w:r>
      <w:r w:rsidRPr="009C20A3">
        <w:rPr>
          <w:i/>
        </w:rPr>
        <w:t>Herbert v. Jewell</w:t>
      </w:r>
      <w:r>
        <w:t xml:space="preserve">, No. 2:16-cv-00101-DAK (D. Utah filed Feb. 4, 2016); </w:t>
      </w:r>
      <w:r w:rsidRPr="009C20A3">
        <w:rPr>
          <w:i/>
        </w:rPr>
        <w:t>Western Watersheds Project v. Schneider</w:t>
      </w:r>
      <w:r>
        <w:t>, No. 1:16-cv-83 (D. Idaho filed Feb. 25, 2016).</w:t>
      </w:r>
    </w:p>
  </w:footnote>
  <w:footnote w:id="53">
    <w:p w:rsidR="00AD6603" w:rsidRDefault="00AD6603">
      <w:pPr>
        <w:pStyle w:val="FootnoteText"/>
      </w:pPr>
      <w:r>
        <w:rPr>
          <w:rStyle w:val="FootnoteReference"/>
        </w:rPr>
        <w:footnoteRef/>
      </w:r>
      <w:r>
        <w:t xml:space="preserve"> </w:t>
      </w:r>
      <w:r w:rsidRPr="00AD6603">
        <w:rPr>
          <w:i/>
        </w:rPr>
        <w:t>Available at</w:t>
      </w:r>
      <w:r>
        <w:t xml:space="preserve"> </w:t>
      </w:r>
      <w:r w:rsidR="00157F04" w:rsidRPr="00157F04">
        <w:t>https://www.doi.gov/pressreleases/secretary-interior-ryan-zinke-statement-sage-grouse-report</w:t>
      </w:r>
      <w:r w:rsidR="00157F04">
        <w:t xml:space="preserve"> (last visited Sept. 28, 2018)</w:t>
      </w:r>
      <w:r>
        <w:t>.</w:t>
      </w:r>
    </w:p>
  </w:footnote>
  <w:footnote w:id="54">
    <w:p w:rsidR="009C20A3" w:rsidRDefault="009C20A3" w:rsidP="00F42333">
      <w:pPr>
        <w:pStyle w:val="FootnoteText"/>
      </w:pPr>
      <w:r>
        <w:rPr>
          <w:rStyle w:val="FootnoteReference"/>
        </w:rPr>
        <w:footnoteRef/>
      </w:r>
      <w:r>
        <w:t xml:space="preserve"> Notice of Intent </w:t>
      </w:r>
      <w:r w:rsidR="00AD6603">
        <w:t>t</w:t>
      </w:r>
      <w:r>
        <w:t>o Amend Land Use Plans Regarding Greater Sage-Grouse Conservation and Prepare Associated Environmental Impact Statements or Environmental Assessments, 82 F</w:t>
      </w:r>
      <w:r w:rsidR="001C7E4A">
        <w:t xml:space="preserve">ed. Reg. 47,248 (Oct. 11, 2017) (BLM land use plans); </w:t>
      </w:r>
      <w:r w:rsidR="001C7E4A" w:rsidRPr="001C7E4A">
        <w:t>Amendments to</w:t>
      </w:r>
      <w:r w:rsidR="001C7E4A">
        <w:t xml:space="preserve"> </w:t>
      </w:r>
      <w:r w:rsidR="001C7E4A" w:rsidRPr="001C7E4A">
        <w:t>Land Management Plans for Greater</w:t>
      </w:r>
      <w:r w:rsidR="001C7E4A">
        <w:t xml:space="preserve"> </w:t>
      </w:r>
      <w:r w:rsidR="001C7E4A" w:rsidRPr="001C7E4A">
        <w:t>Sage-Grouse Conservation</w:t>
      </w:r>
      <w:r w:rsidR="001C7E4A">
        <w:t xml:space="preserve">, Notice of Intent to Prepare an Environmental Impact Statement, 82 Fed. Reg. </w:t>
      </w:r>
      <w:r w:rsidR="001C7E4A" w:rsidRPr="001C7E4A">
        <w:t>55</w:t>
      </w:r>
      <w:r w:rsidR="001C7E4A">
        <w:t>,</w:t>
      </w:r>
      <w:r w:rsidR="001C7E4A" w:rsidRPr="001C7E4A">
        <w:t>346</w:t>
      </w:r>
      <w:r w:rsidR="001C7E4A">
        <w:t xml:space="preserve"> (Nov. 21, 2017) (Forest Service land use plans).</w:t>
      </w:r>
    </w:p>
  </w:footnote>
  <w:footnote w:id="55">
    <w:p w:rsidR="00B706E3" w:rsidRDefault="00B706E3" w:rsidP="00B706E3">
      <w:pPr>
        <w:pStyle w:val="FootnoteText"/>
      </w:pPr>
      <w:r>
        <w:rPr>
          <w:rStyle w:val="FootnoteReference"/>
        </w:rPr>
        <w:footnoteRef/>
      </w:r>
      <w:r>
        <w:t xml:space="preserve"> Notice of Availability of the Nevada</w:t>
      </w:r>
    </w:p>
    <w:p w:rsidR="00B706E3" w:rsidRDefault="00B706E3" w:rsidP="00B706E3">
      <w:pPr>
        <w:pStyle w:val="FootnoteText"/>
      </w:pPr>
      <w:r>
        <w:t>and Northeastern California Draft Resource Management Plan Amendment and Draft Environmental</w:t>
      </w:r>
    </w:p>
    <w:p w:rsidR="00B706E3" w:rsidRDefault="00B706E3" w:rsidP="00B706E3">
      <w:pPr>
        <w:pStyle w:val="FootnoteText"/>
      </w:pPr>
      <w:r>
        <w:t xml:space="preserve">Impact Statement for Greater Sage-Grouse Conservation, 83 Fed. Reg. 19800 (May 4, 2018); Notice of Availability of the Idaho Draft Resource Management Plan Amendment and Draft Environmental Impact Statement for Greater Sage-Grouse Conservation, 83 Fed. Reg. 19801 (May 4, 2018); Notice of Availability of the </w:t>
      </w:r>
      <w:r w:rsidR="00CD5021">
        <w:t>Utah</w:t>
      </w:r>
      <w:r>
        <w:t xml:space="preserve"> Draft Resource Management Plan Amendment and Draft Environmental Impact Statement for Greater Sage-Grouse Conservation, 83 Fed. Reg. 1980</w:t>
      </w:r>
      <w:r w:rsidR="00CD5021">
        <w:t>3</w:t>
      </w:r>
      <w:r>
        <w:t xml:space="preserve"> (May 4, 2018);</w:t>
      </w:r>
      <w:r w:rsidR="00CD5021">
        <w:t xml:space="preserve"> Notice of Availability of the Oregon Draft Resource Management Plan Amendment and Draft Environmental Impact Statement for Greater Sage-Grouse Conservation, 83 Fed. Reg. 19804 (May 4, 2018); Notice of Availability of the Colorado Draft Resource Management Plan Amendment and Draft Environmental Impact Statement for Greater Sage-Grouse Conservation, 83 Fed. Reg. 19808 (May 4, 2018); Notice of Availability of the Wyoming Draft Resource Management Plan Amendment and Draft Environmental Impact Statement for Greater Sage-Grouse Conservation, 83 Fed. Reg. 19810 (May 4, 2018).</w:t>
      </w:r>
    </w:p>
  </w:footnote>
  <w:footnote w:id="56">
    <w:p w:rsidR="00F9140A" w:rsidRDefault="00F9140A" w:rsidP="00270B69">
      <w:pPr>
        <w:pStyle w:val="FootnoteText"/>
      </w:pPr>
      <w:r>
        <w:rPr>
          <w:rStyle w:val="FootnoteReference"/>
        </w:rPr>
        <w:footnoteRef/>
      </w:r>
      <w:r>
        <w:t xml:space="preserve"> </w:t>
      </w:r>
      <w:r w:rsidR="00270B69">
        <w:t>Notice of Availability of the Draft Greater Sage-grouse Proposed Land Management Plan Amendments and Draft Environmental Impact Statement for the Intermountain and Rocky Mountain Regions, 83 Fed. Reg. 50331 (Oct. 5,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6" w15:restartNumberingAfterBreak="0">
    <w:nsid w:val="186508B5"/>
    <w:multiLevelType w:val="hybridMultilevel"/>
    <w:tmpl w:val="65668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7B1363"/>
    <w:multiLevelType w:val="multilevel"/>
    <w:tmpl w:val="D3C81C6C"/>
    <w:lvl w:ilvl="0">
      <w:start w:val="1"/>
      <w:numFmt w:val="upperRoman"/>
      <w:pStyle w:val="Heading1"/>
      <w:lvlText w:val="%1."/>
      <w:lvlJc w:val="left"/>
      <w:pPr>
        <w:tabs>
          <w:tab w:val="num" w:pos="1440"/>
        </w:tabs>
        <w:ind w:left="0" w:firstLine="0"/>
      </w:pPr>
      <w:rPr>
        <w:rFonts w:ascii="Cambria" w:hAnsi="Cambri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tabs>
          <w:tab w:val="num" w:pos="2160"/>
        </w:tabs>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2880"/>
        </w:tabs>
        <w:ind w:left="0" w:firstLine="1440"/>
      </w:pPr>
      <w:rPr>
        <w:rFonts w:ascii="Cambria" w:hAnsi="Cambria" w:hint="default"/>
        <w:b/>
      </w:rPr>
    </w:lvl>
    <w:lvl w:ilvl="3">
      <w:start w:val="1"/>
      <w:numFmt w:val="lowerLetter"/>
      <w:pStyle w:val="Heading4"/>
      <w:lvlText w:val="%4."/>
      <w:lvlJc w:val="left"/>
      <w:pPr>
        <w:tabs>
          <w:tab w:val="num" w:pos="3600"/>
        </w:tabs>
        <w:ind w:left="0" w:firstLine="21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pStyle w:val="Heading9"/>
      <w:lvlText w:val=""/>
      <w:lvlJc w:val="left"/>
      <w:pPr>
        <w:tabs>
          <w:tab w:val="num" w:pos="7200"/>
        </w:tabs>
        <w:ind w:left="0" w:firstLine="6480"/>
      </w:pPr>
      <w:rPr>
        <w:rFonts w:hint="default"/>
      </w:rPr>
    </w:lvl>
  </w:abstractNum>
  <w:abstractNum w:abstractNumId="8" w15:restartNumberingAfterBreak="0">
    <w:nsid w:val="5DCA58A1"/>
    <w:multiLevelType w:val="hybridMultilevel"/>
    <w:tmpl w:val="D5908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9"/>
  </w:num>
  <w:num w:numId="8">
    <w:abstractNumId w:val="5"/>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71C"/>
    <w:rsid w:val="000002FB"/>
    <w:rsid w:val="0000127F"/>
    <w:rsid w:val="00001E13"/>
    <w:rsid w:val="000027EA"/>
    <w:rsid w:val="00003F7B"/>
    <w:rsid w:val="000041D5"/>
    <w:rsid w:val="00004376"/>
    <w:rsid w:val="00005131"/>
    <w:rsid w:val="000057ED"/>
    <w:rsid w:val="00006F58"/>
    <w:rsid w:val="00007898"/>
    <w:rsid w:val="000078CA"/>
    <w:rsid w:val="00007AE8"/>
    <w:rsid w:val="00007CAE"/>
    <w:rsid w:val="00010366"/>
    <w:rsid w:val="00011126"/>
    <w:rsid w:val="000114E6"/>
    <w:rsid w:val="00011D3E"/>
    <w:rsid w:val="000124D2"/>
    <w:rsid w:val="000126E3"/>
    <w:rsid w:val="00012777"/>
    <w:rsid w:val="00012A5A"/>
    <w:rsid w:val="00013291"/>
    <w:rsid w:val="000135B0"/>
    <w:rsid w:val="00013A32"/>
    <w:rsid w:val="00013F18"/>
    <w:rsid w:val="00014AC7"/>
    <w:rsid w:val="00014EB8"/>
    <w:rsid w:val="00015E2A"/>
    <w:rsid w:val="00017C43"/>
    <w:rsid w:val="00020A13"/>
    <w:rsid w:val="00020D72"/>
    <w:rsid w:val="0002181E"/>
    <w:rsid w:val="000220B5"/>
    <w:rsid w:val="00022254"/>
    <w:rsid w:val="00022721"/>
    <w:rsid w:val="00023076"/>
    <w:rsid w:val="0002335D"/>
    <w:rsid w:val="000233B9"/>
    <w:rsid w:val="00024365"/>
    <w:rsid w:val="000243E4"/>
    <w:rsid w:val="000243F4"/>
    <w:rsid w:val="000246DE"/>
    <w:rsid w:val="00024950"/>
    <w:rsid w:val="0002526E"/>
    <w:rsid w:val="000262C6"/>
    <w:rsid w:val="000271D2"/>
    <w:rsid w:val="000273CE"/>
    <w:rsid w:val="000313A4"/>
    <w:rsid w:val="000314E3"/>
    <w:rsid w:val="00031985"/>
    <w:rsid w:val="00031A6D"/>
    <w:rsid w:val="000325BD"/>
    <w:rsid w:val="000331DA"/>
    <w:rsid w:val="00033D74"/>
    <w:rsid w:val="00034D43"/>
    <w:rsid w:val="00034FF8"/>
    <w:rsid w:val="0003549E"/>
    <w:rsid w:val="0003552E"/>
    <w:rsid w:val="00035B97"/>
    <w:rsid w:val="0003601C"/>
    <w:rsid w:val="00036619"/>
    <w:rsid w:val="00037624"/>
    <w:rsid w:val="00037E05"/>
    <w:rsid w:val="000404A0"/>
    <w:rsid w:val="00042C7B"/>
    <w:rsid w:val="00042D08"/>
    <w:rsid w:val="00042FE7"/>
    <w:rsid w:val="000439BF"/>
    <w:rsid w:val="00043B5F"/>
    <w:rsid w:val="0004469F"/>
    <w:rsid w:val="000452F9"/>
    <w:rsid w:val="00045516"/>
    <w:rsid w:val="000460E9"/>
    <w:rsid w:val="00046314"/>
    <w:rsid w:val="00046963"/>
    <w:rsid w:val="00046B07"/>
    <w:rsid w:val="00046E14"/>
    <w:rsid w:val="00047269"/>
    <w:rsid w:val="00047AA9"/>
    <w:rsid w:val="00050401"/>
    <w:rsid w:val="00050CD7"/>
    <w:rsid w:val="00050D8D"/>
    <w:rsid w:val="00051964"/>
    <w:rsid w:val="00051D15"/>
    <w:rsid w:val="00052963"/>
    <w:rsid w:val="000541B2"/>
    <w:rsid w:val="00055291"/>
    <w:rsid w:val="00055E35"/>
    <w:rsid w:val="00056432"/>
    <w:rsid w:val="00057079"/>
    <w:rsid w:val="0005768F"/>
    <w:rsid w:val="000603B4"/>
    <w:rsid w:val="00060D2C"/>
    <w:rsid w:val="00061388"/>
    <w:rsid w:val="00062BC6"/>
    <w:rsid w:val="00062EF6"/>
    <w:rsid w:val="00063935"/>
    <w:rsid w:val="00064BAC"/>
    <w:rsid w:val="00064EC6"/>
    <w:rsid w:val="00064F28"/>
    <w:rsid w:val="00066437"/>
    <w:rsid w:val="000668D5"/>
    <w:rsid w:val="000671BD"/>
    <w:rsid w:val="00067A78"/>
    <w:rsid w:val="00070BD1"/>
    <w:rsid w:val="0007112C"/>
    <w:rsid w:val="000716BD"/>
    <w:rsid w:val="000717AF"/>
    <w:rsid w:val="000719D6"/>
    <w:rsid w:val="00071F19"/>
    <w:rsid w:val="000731A1"/>
    <w:rsid w:val="000734EF"/>
    <w:rsid w:val="0007397F"/>
    <w:rsid w:val="00074DE5"/>
    <w:rsid w:val="00075191"/>
    <w:rsid w:val="0007592E"/>
    <w:rsid w:val="00075DA8"/>
    <w:rsid w:val="000765F5"/>
    <w:rsid w:val="0007690E"/>
    <w:rsid w:val="0007736A"/>
    <w:rsid w:val="00080A79"/>
    <w:rsid w:val="00080AC3"/>
    <w:rsid w:val="00080B19"/>
    <w:rsid w:val="00080C18"/>
    <w:rsid w:val="0008106A"/>
    <w:rsid w:val="00081321"/>
    <w:rsid w:val="00081661"/>
    <w:rsid w:val="000818E2"/>
    <w:rsid w:val="000827E1"/>
    <w:rsid w:val="00083972"/>
    <w:rsid w:val="00083DDC"/>
    <w:rsid w:val="00084022"/>
    <w:rsid w:val="000843D1"/>
    <w:rsid w:val="00084418"/>
    <w:rsid w:val="00084A7A"/>
    <w:rsid w:val="00084BF7"/>
    <w:rsid w:val="00085110"/>
    <w:rsid w:val="00085B7E"/>
    <w:rsid w:val="00086CEB"/>
    <w:rsid w:val="00087164"/>
    <w:rsid w:val="0009016F"/>
    <w:rsid w:val="000909FB"/>
    <w:rsid w:val="00091235"/>
    <w:rsid w:val="00092E78"/>
    <w:rsid w:val="000935C7"/>
    <w:rsid w:val="00093EF3"/>
    <w:rsid w:val="0009415E"/>
    <w:rsid w:val="00094710"/>
    <w:rsid w:val="00094880"/>
    <w:rsid w:val="00095AF5"/>
    <w:rsid w:val="00095E77"/>
    <w:rsid w:val="00095FFB"/>
    <w:rsid w:val="000966BE"/>
    <w:rsid w:val="00096C2E"/>
    <w:rsid w:val="0009700D"/>
    <w:rsid w:val="0009754A"/>
    <w:rsid w:val="000A056B"/>
    <w:rsid w:val="000A0AC9"/>
    <w:rsid w:val="000A0E03"/>
    <w:rsid w:val="000A1CA4"/>
    <w:rsid w:val="000A3059"/>
    <w:rsid w:val="000A34C3"/>
    <w:rsid w:val="000A4A0C"/>
    <w:rsid w:val="000A75CC"/>
    <w:rsid w:val="000A77F0"/>
    <w:rsid w:val="000B1589"/>
    <w:rsid w:val="000B2C53"/>
    <w:rsid w:val="000B3BFF"/>
    <w:rsid w:val="000B4804"/>
    <w:rsid w:val="000B529D"/>
    <w:rsid w:val="000B5335"/>
    <w:rsid w:val="000B5415"/>
    <w:rsid w:val="000B62F6"/>
    <w:rsid w:val="000B6777"/>
    <w:rsid w:val="000C099C"/>
    <w:rsid w:val="000C221F"/>
    <w:rsid w:val="000C4DA9"/>
    <w:rsid w:val="000C4EDE"/>
    <w:rsid w:val="000C5236"/>
    <w:rsid w:val="000C5493"/>
    <w:rsid w:val="000C59FB"/>
    <w:rsid w:val="000C59FC"/>
    <w:rsid w:val="000C5D6E"/>
    <w:rsid w:val="000C6079"/>
    <w:rsid w:val="000C6140"/>
    <w:rsid w:val="000C61BE"/>
    <w:rsid w:val="000C6B06"/>
    <w:rsid w:val="000C6CB0"/>
    <w:rsid w:val="000C7B68"/>
    <w:rsid w:val="000C7F97"/>
    <w:rsid w:val="000D01D2"/>
    <w:rsid w:val="000D0AD2"/>
    <w:rsid w:val="000D1045"/>
    <w:rsid w:val="000D1785"/>
    <w:rsid w:val="000D20E3"/>
    <w:rsid w:val="000D2DF2"/>
    <w:rsid w:val="000D2F52"/>
    <w:rsid w:val="000D38F1"/>
    <w:rsid w:val="000D3AB6"/>
    <w:rsid w:val="000D4CAE"/>
    <w:rsid w:val="000D5528"/>
    <w:rsid w:val="000D7104"/>
    <w:rsid w:val="000D7C47"/>
    <w:rsid w:val="000E0321"/>
    <w:rsid w:val="000E03DA"/>
    <w:rsid w:val="000E03DD"/>
    <w:rsid w:val="000E0EE9"/>
    <w:rsid w:val="000E1BAC"/>
    <w:rsid w:val="000E2133"/>
    <w:rsid w:val="000E33DD"/>
    <w:rsid w:val="000E34E0"/>
    <w:rsid w:val="000E3989"/>
    <w:rsid w:val="000E3F1B"/>
    <w:rsid w:val="000E4CB7"/>
    <w:rsid w:val="000E4EE0"/>
    <w:rsid w:val="000E6222"/>
    <w:rsid w:val="000E6469"/>
    <w:rsid w:val="000E65DA"/>
    <w:rsid w:val="000E6857"/>
    <w:rsid w:val="000E699E"/>
    <w:rsid w:val="000F0137"/>
    <w:rsid w:val="000F1704"/>
    <w:rsid w:val="000F173D"/>
    <w:rsid w:val="000F1C85"/>
    <w:rsid w:val="000F1E13"/>
    <w:rsid w:val="000F23F7"/>
    <w:rsid w:val="000F27DF"/>
    <w:rsid w:val="000F339F"/>
    <w:rsid w:val="000F3613"/>
    <w:rsid w:val="000F4818"/>
    <w:rsid w:val="000F4F1C"/>
    <w:rsid w:val="000F4F1E"/>
    <w:rsid w:val="000F5567"/>
    <w:rsid w:val="000F592C"/>
    <w:rsid w:val="000F599F"/>
    <w:rsid w:val="000F5D89"/>
    <w:rsid w:val="000F623F"/>
    <w:rsid w:val="000F66A3"/>
    <w:rsid w:val="000F6B8A"/>
    <w:rsid w:val="000F7AD7"/>
    <w:rsid w:val="00100263"/>
    <w:rsid w:val="00100EC8"/>
    <w:rsid w:val="00101AB2"/>
    <w:rsid w:val="00102785"/>
    <w:rsid w:val="00102FFD"/>
    <w:rsid w:val="00103B67"/>
    <w:rsid w:val="00103C3B"/>
    <w:rsid w:val="00103E5E"/>
    <w:rsid w:val="0010451E"/>
    <w:rsid w:val="0010536B"/>
    <w:rsid w:val="00105988"/>
    <w:rsid w:val="00105AF2"/>
    <w:rsid w:val="001064F1"/>
    <w:rsid w:val="00107BED"/>
    <w:rsid w:val="00107D4E"/>
    <w:rsid w:val="00111835"/>
    <w:rsid w:val="001138BA"/>
    <w:rsid w:val="00113CA4"/>
    <w:rsid w:val="00114781"/>
    <w:rsid w:val="001154BE"/>
    <w:rsid w:val="001154C4"/>
    <w:rsid w:val="00115E32"/>
    <w:rsid w:val="00116590"/>
    <w:rsid w:val="00116EE5"/>
    <w:rsid w:val="001172DE"/>
    <w:rsid w:val="001178A9"/>
    <w:rsid w:val="00117E57"/>
    <w:rsid w:val="00120813"/>
    <w:rsid w:val="00121167"/>
    <w:rsid w:val="00122123"/>
    <w:rsid w:val="00122B1A"/>
    <w:rsid w:val="00122D5F"/>
    <w:rsid w:val="00123613"/>
    <w:rsid w:val="001238F1"/>
    <w:rsid w:val="0012405F"/>
    <w:rsid w:val="00124669"/>
    <w:rsid w:val="0012472E"/>
    <w:rsid w:val="00124E04"/>
    <w:rsid w:val="00124F83"/>
    <w:rsid w:val="0012534E"/>
    <w:rsid w:val="0012581F"/>
    <w:rsid w:val="00125D93"/>
    <w:rsid w:val="00127F5C"/>
    <w:rsid w:val="00130508"/>
    <w:rsid w:val="00130FBB"/>
    <w:rsid w:val="001332BE"/>
    <w:rsid w:val="00133A0D"/>
    <w:rsid w:val="00133DED"/>
    <w:rsid w:val="00134AAE"/>
    <w:rsid w:val="0013529A"/>
    <w:rsid w:val="00135352"/>
    <w:rsid w:val="00135697"/>
    <w:rsid w:val="00135ED7"/>
    <w:rsid w:val="001362F4"/>
    <w:rsid w:val="00136DDE"/>
    <w:rsid w:val="00137C1E"/>
    <w:rsid w:val="0014021A"/>
    <w:rsid w:val="001406E6"/>
    <w:rsid w:val="00140EE8"/>
    <w:rsid w:val="001412FC"/>
    <w:rsid w:val="001422B7"/>
    <w:rsid w:val="00143260"/>
    <w:rsid w:val="00143DBE"/>
    <w:rsid w:val="00144274"/>
    <w:rsid w:val="00144868"/>
    <w:rsid w:val="001453DF"/>
    <w:rsid w:val="001461B6"/>
    <w:rsid w:val="001468D7"/>
    <w:rsid w:val="00146B2F"/>
    <w:rsid w:val="00147208"/>
    <w:rsid w:val="00150614"/>
    <w:rsid w:val="00151954"/>
    <w:rsid w:val="00151CFB"/>
    <w:rsid w:val="00152B76"/>
    <w:rsid w:val="00152CA3"/>
    <w:rsid w:val="00152DB9"/>
    <w:rsid w:val="00153ABB"/>
    <w:rsid w:val="00153B33"/>
    <w:rsid w:val="00153B45"/>
    <w:rsid w:val="00153FD0"/>
    <w:rsid w:val="00155A6A"/>
    <w:rsid w:val="00155AA1"/>
    <w:rsid w:val="00155EA5"/>
    <w:rsid w:val="00155F3B"/>
    <w:rsid w:val="00157178"/>
    <w:rsid w:val="00157C4F"/>
    <w:rsid w:val="00157F04"/>
    <w:rsid w:val="00160B97"/>
    <w:rsid w:val="00160C4D"/>
    <w:rsid w:val="0016136F"/>
    <w:rsid w:val="00162724"/>
    <w:rsid w:val="00163733"/>
    <w:rsid w:val="00163F22"/>
    <w:rsid w:val="00164205"/>
    <w:rsid w:val="00164346"/>
    <w:rsid w:val="0016459A"/>
    <w:rsid w:val="00167078"/>
    <w:rsid w:val="001670A3"/>
    <w:rsid w:val="00167201"/>
    <w:rsid w:val="001675BE"/>
    <w:rsid w:val="001675C2"/>
    <w:rsid w:val="00167679"/>
    <w:rsid w:val="00167720"/>
    <w:rsid w:val="00171B74"/>
    <w:rsid w:val="00171F84"/>
    <w:rsid w:val="001725BF"/>
    <w:rsid w:val="001727AD"/>
    <w:rsid w:val="00173315"/>
    <w:rsid w:val="00173782"/>
    <w:rsid w:val="00173C56"/>
    <w:rsid w:val="00174C7D"/>
    <w:rsid w:val="00174F4D"/>
    <w:rsid w:val="0017641A"/>
    <w:rsid w:val="00176FF2"/>
    <w:rsid w:val="001809FB"/>
    <w:rsid w:val="00180E1A"/>
    <w:rsid w:val="001837B5"/>
    <w:rsid w:val="00183C40"/>
    <w:rsid w:val="00185266"/>
    <w:rsid w:val="00185A07"/>
    <w:rsid w:val="00185EB5"/>
    <w:rsid w:val="00186C36"/>
    <w:rsid w:val="001870DB"/>
    <w:rsid w:val="00187F82"/>
    <w:rsid w:val="001908F1"/>
    <w:rsid w:val="00190BD9"/>
    <w:rsid w:val="00190CEC"/>
    <w:rsid w:val="00193862"/>
    <w:rsid w:val="00193FC5"/>
    <w:rsid w:val="00194784"/>
    <w:rsid w:val="00194E43"/>
    <w:rsid w:val="0019643D"/>
    <w:rsid w:val="00196D8F"/>
    <w:rsid w:val="001A057A"/>
    <w:rsid w:val="001A05E2"/>
    <w:rsid w:val="001A1A3D"/>
    <w:rsid w:val="001A1E2C"/>
    <w:rsid w:val="001A33C7"/>
    <w:rsid w:val="001A46DA"/>
    <w:rsid w:val="001A4BC0"/>
    <w:rsid w:val="001A5AC7"/>
    <w:rsid w:val="001A6286"/>
    <w:rsid w:val="001A6A2F"/>
    <w:rsid w:val="001A6D3D"/>
    <w:rsid w:val="001A70D5"/>
    <w:rsid w:val="001B0150"/>
    <w:rsid w:val="001B04C4"/>
    <w:rsid w:val="001B0CE9"/>
    <w:rsid w:val="001B148D"/>
    <w:rsid w:val="001B1AC1"/>
    <w:rsid w:val="001B240D"/>
    <w:rsid w:val="001B2BF6"/>
    <w:rsid w:val="001B2CAC"/>
    <w:rsid w:val="001B3304"/>
    <w:rsid w:val="001B351B"/>
    <w:rsid w:val="001B4A1D"/>
    <w:rsid w:val="001B59CF"/>
    <w:rsid w:val="001B68B9"/>
    <w:rsid w:val="001C0365"/>
    <w:rsid w:val="001C1CEC"/>
    <w:rsid w:val="001C287C"/>
    <w:rsid w:val="001C2B77"/>
    <w:rsid w:val="001C391B"/>
    <w:rsid w:val="001C3B15"/>
    <w:rsid w:val="001C3BCF"/>
    <w:rsid w:val="001C3FBB"/>
    <w:rsid w:val="001C4B6D"/>
    <w:rsid w:val="001C4B8E"/>
    <w:rsid w:val="001C4DE3"/>
    <w:rsid w:val="001C5312"/>
    <w:rsid w:val="001C7311"/>
    <w:rsid w:val="001C74D5"/>
    <w:rsid w:val="001C7E4A"/>
    <w:rsid w:val="001C7FCF"/>
    <w:rsid w:val="001D02DE"/>
    <w:rsid w:val="001D3AFE"/>
    <w:rsid w:val="001D4994"/>
    <w:rsid w:val="001D5121"/>
    <w:rsid w:val="001D53E7"/>
    <w:rsid w:val="001D616A"/>
    <w:rsid w:val="001D7B60"/>
    <w:rsid w:val="001E056A"/>
    <w:rsid w:val="001E132F"/>
    <w:rsid w:val="001E1612"/>
    <w:rsid w:val="001E2574"/>
    <w:rsid w:val="001E2992"/>
    <w:rsid w:val="001E3C41"/>
    <w:rsid w:val="001E4138"/>
    <w:rsid w:val="001E45B0"/>
    <w:rsid w:val="001E49A4"/>
    <w:rsid w:val="001E4C5C"/>
    <w:rsid w:val="001E4D82"/>
    <w:rsid w:val="001E7F74"/>
    <w:rsid w:val="001F110E"/>
    <w:rsid w:val="001F23ED"/>
    <w:rsid w:val="001F2B23"/>
    <w:rsid w:val="001F30FA"/>
    <w:rsid w:val="001F38B7"/>
    <w:rsid w:val="001F4428"/>
    <w:rsid w:val="001F4D6B"/>
    <w:rsid w:val="001F562C"/>
    <w:rsid w:val="001F57EC"/>
    <w:rsid w:val="001F5E1F"/>
    <w:rsid w:val="00200427"/>
    <w:rsid w:val="00200AB5"/>
    <w:rsid w:val="00200B6B"/>
    <w:rsid w:val="00201311"/>
    <w:rsid w:val="00201F8C"/>
    <w:rsid w:val="00202718"/>
    <w:rsid w:val="0020343E"/>
    <w:rsid w:val="002035AB"/>
    <w:rsid w:val="0020415A"/>
    <w:rsid w:val="002047D6"/>
    <w:rsid w:val="00204CDB"/>
    <w:rsid w:val="002051C4"/>
    <w:rsid w:val="00205415"/>
    <w:rsid w:val="00205A68"/>
    <w:rsid w:val="00205DC8"/>
    <w:rsid w:val="002069A0"/>
    <w:rsid w:val="002070B5"/>
    <w:rsid w:val="002107B0"/>
    <w:rsid w:val="00210CC7"/>
    <w:rsid w:val="00211062"/>
    <w:rsid w:val="002117E5"/>
    <w:rsid w:val="00213766"/>
    <w:rsid w:val="00213792"/>
    <w:rsid w:val="00213897"/>
    <w:rsid w:val="002148B7"/>
    <w:rsid w:val="002148D2"/>
    <w:rsid w:val="00215891"/>
    <w:rsid w:val="00215FA6"/>
    <w:rsid w:val="00216157"/>
    <w:rsid w:val="002165EC"/>
    <w:rsid w:val="002168C4"/>
    <w:rsid w:val="002179BE"/>
    <w:rsid w:val="00223218"/>
    <w:rsid w:val="0022361E"/>
    <w:rsid w:val="00223BEF"/>
    <w:rsid w:val="00227E0A"/>
    <w:rsid w:val="0023245F"/>
    <w:rsid w:val="0023268B"/>
    <w:rsid w:val="002326FA"/>
    <w:rsid w:val="00234442"/>
    <w:rsid w:val="00234CED"/>
    <w:rsid w:val="00236DE8"/>
    <w:rsid w:val="00237193"/>
    <w:rsid w:val="00237575"/>
    <w:rsid w:val="00237F2E"/>
    <w:rsid w:val="0024028B"/>
    <w:rsid w:val="00240695"/>
    <w:rsid w:val="00241B4D"/>
    <w:rsid w:val="00242548"/>
    <w:rsid w:val="0024266E"/>
    <w:rsid w:val="00243AC1"/>
    <w:rsid w:val="002445D1"/>
    <w:rsid w:val="00244EC9"/>
    <w:rsid w:val="00246329"/>
    <w:rsid w:val="002468B9"/>
    <w:rsid w:val="0024691E"/>
    <w:rsid w:val="00246B1E"/>
    <w:rsid w:val="002476E1"/>
    <w:rsid w:val="0024772A"/>
    <w:rsid w:val="00247934"/>
    <w:rsid w:val="0025018C"/>
    <w:rsid w:val="00250577"/>
    <w:rsid w:val="002527CF"/>
    <w:rsid w:val="00253093"/>
    <w:rsid w:val="002534FE"/>
    <w:rsid w:val="002537BA"/>
    <w:rsid w:val="002549A4"/>
    <w:rsid w:val="0025542C"/>
    <w:rsid w:val="0025584A"/>
    <w:rsid w:val="002558C2"/>
    <w:rsid w:val="00255B30"/>
    <w:rsid w:val="00255CCB"/>
    <w:rsid w:val="00255E4C"/>
    <w:rsid w:val="00256FD5"/>
    <w:rsid w:val="0025712E"/>
    <w:rsid w:val="00257D3C"/>
    <w:rsid w:val="00257EBB"/>
    <w:rsid w:val="00260305"/>
    <w:rsid w:val="00260B61"/>
    <w:rsid w:val="00261A86"/>
    <w:rsid w:val="00261ACE"/>
    <w:rsid w:val="00262225"/>
    <w:rsid w:val="00262AC6"/>
    <w:rsid w:val="00262ED1"/>
    <w:rsid w:val="00263AE1"/>
    <w:rsid w:val="00263B5D"/>
    <w:rsid w:val="00264014"/>
    <w:rsid w:val="00265065"/>
    <w:rsid w:val="002650E5"/>
    <w:rsid w:val="00265339"/>
    <w:rsid w:val="002655B5"/>
    <w:rsid w:val="0026607A"/>
    <w:rsid w:val="00266269"/>
    <w:rsid w:val="0026656F"/>
    <w:rsid w:val="0026673B"/>
    <w:rsid w:val="0026737E"/>
    <w:rsid w:val="00270428"/>
    <w:rsid w:val="002704CB"/>
    <w:rsid w:val="00270B69"/>
    <w:rsid w:val="002733FC"/>
    <w:rsid w:val="00273605"/>
    <w:rsid w:val="002736CB"/>
    <w:rsid w:val="00273C6A"/>
    <w:rsid w:val="00273EFA"/>
    <w:rsid w:val="00273F92"/>
    <w:rsid w:val="00275944"/>
    <w:rsid w:val="00275E7E"/>
    <w:rsid w:val="002767CC"/>
    <w:rsid w:val="00276850"/>
    <w:rsid w:val="00276C46"/>
    <w:rsid w:val="00277524"/>
    <w:rsid w:val="0028039B"/>
    <w:rsid w:val="00280770"/>
    <w:rsid w:val="002860F8"/>
    <w:rsid w:val="00286365"/>
    <w:rsid w:val="0028673C"/>
    <w:rsid w:val="00286F2F"/>
    <w:rsid w:val="002871BC"/>
    <w:rsid w:val="00287B06"/>
    <w:rsid w:val="00287F51"/>
    <w:rsid w:val="002902ED"/>
    <w:rsid w:val="002905A1"/>
    <w:rsid w:val="00290701"/>
    <w:rsid w:val="00290DF9"/>
    <w:rsid w:val="00291C96"/>
    <w:rsid w:val="00291DDB"/>
    <w:rsid w:val="00292EE3"/>
    <w:rsid w:val="00292F7F"/>
    <w:rsid w:val="00295F53"/>
    <w:rsid w:val="0029692E"/>
    <w:rsid w:val="00296E6C"/>
    <w:rsid w:val="00297D4B"/>
    <w:rsid w:val="002A07B0"/>
    <w:rsid w:val="002A0AC8"/>
    <w:rsid w:val="002A327F"/>
    <w:rsid w:val="002A35EA"/>
    <w:rsid w:val="002A3B13"/>
    <w:rsid w:val="002A3C96"/>
    <w:rsid w:val="002A4C41"/>
    <w:rsid w:val="002A5340"/>
    <w:rsid w:val="002A64F3"/>
    <w:rsid w:val="002A66B8"/>
    <w:rsid w:val="002A6776"/>
    <w:rsid w:val="002A7A69"/>
    <w:rsid w:val="002B0DA7"/>
    <w:rsid w:val="002B1018"/>
    <w:rsid w:val="002B1640"/>
    <w:rsid w:val="002B1C05"/>
    <w:rsid w:val="002B2099"/>
    <w:rsid w:val="002B22C9"/>
    <w:rsid w:val="002B2934"/>
    <w:rsid w:val="002B2ACA"/>
    <w:rsid w:val="002B2D59"/>
    <w:rsid w:val="002B3D62"/>
    <w:rsid w:val="002B3F0C"/>
    <w:rsid w:val="002B5095"/>
    <w:rsid w:val="002B50EE"/>
    <w:rsid w:val="002B54D0"/>
    <w:rsid w:val="002B57EA"/>
    <w:rsid w:val="002B5C38"/>
    <w:rsid w:val="002B68F6"/>
    <w:rsid w:val="002B69F1"/>
    <w:rsid w:val="002B7336"/>
    <w:rsid w:val="002B7C07"/>
    <w:rsid w:val="002C01B4"/>
    <w:rsid w:val="002C0411"/>
    <w:rsid w:val="002C10AD"/>
    <w:rsid w:val="002C1A41"/>
    <w:rsid w:val="002C20BD"/>
    <w:rsid w:val="002C2344"/>
    <w:rsid w:val="002C2544"/>
    <w:rsid w:val="002C2AA0"/>
    <w:rsid w:val="002C3083"/>
    <w:rsid w:val="002C3784"/>
    <w:rsid w:val="002C4FDE"/>
    <w:rsid w:val="002C5B4E"/>
    <w:rsid w:val="002C6C44"/>
    <w:rsid w:val="002C72DC"/>
    <w:rsid w:val="002D0902"/>
    <w:rsid w:val="002D0FE1"/>
    <w:rsid w:val="002D1FA2"/>
    <w:rsid w:val="002D1FD0"/>
    <w:rsid w:val="002D3405"/>
    <w:rsid w:val="002D345F"/>
    <w:rsid w:val="002D3713"/>
    <w:rsid w:val="002D40D5"/>
    <w:rsid w:val="002D4EF5"/>
    <w:rsid w:val="002D6058"/>
    <w:rsid w:val="002D606B"/>
    <w:rsid w:val="002D61BF"/>
    <w:rsid w:val="002D630D"/>
    <w:rsid w:val="002D6AF8"/>
    <w:rsid w:val="002D6B65"/>
    <w:rsid w:val="002D7BAA"/>
    <w:rsid w:val="002E01CF"/>
    <w:rsid w:val="002E130C"/>
    <w:rsid w:val="002E31C9"/>
    <w:rsid w:val="002E4187"/>
    <w:rsid w:val="002E494D"/>
    <w:rsid w:val="002E49FD"/>
    <w:rsid w:val="002E50DF"/>
    <w:rsid w:val="002E5878"/>
    <w:rsid w:val="002E5D14"/>
    <w:rsid w:val="002E66DD"/>
    <w:rsid w:val="002E692F"/>
    <w:rsid w:val="002F0D4A"/>
    <w:rsid w:val="002F19B1"/>
    <w:rsid w:val="002F27A9"/>
    <w:rsid w:val="002F3021"/>
    <w:rsid w:val="002F3F89"/>
    <w:rsid w:val="002F4053"/>
    <w:rsid w:val="002F40EA"/>
    <w:rsid w:val="002F4965"/>
    <w:rsid w:val="002F4D70"/>
    <w:rsid w:val="002F5136"/>
    <w:rsid w:val="002F5C8E"/>
    <w:rsid w:val="002F5E92"/>
    <w:rsid w:val="002F76D1"/>
    <w:rsid w:val="0030135B"/>
    <w:rsid w:val="00301978"/>
    <w:rsid w:val="003019BA"/>
    <w:rsid w:val="003022B7"/>
    <w:rsid w:val="003023DA"/>
    <w:rsid w:val="00302502"/>
    <w:rsid w:val="00302B82"/>
    <w:rsid w:val="00303D3E"/>
    <w:rsid w:val="003041D6"/>
    <w:rsid w:val="0030456F"/>
    <w:rsid w:val="00304FAA"/>
    <w:rsid w:val="00305089"/>
    <w:rsid w:val="00306F4B"/>
    <w:rsid w:val="00307077"/>
    <w:rsid w:val="003073AB"/>
    <w:rsid w:val="003105D2"/>
    <w:rsid w:val="003107BA"/>
    <w:rsid w:val="00312FEC"/>
    <w:rsid w:val="003133DA"/>
    <w:rsid w:val="003155F5"/>
    <w:rsid w:val="00315C0D"/>
    <w:rsid w:val="00315ECA"/>
    <w:rsid w:val="00317720"/>
    <w:rsid w:val="003204FB"/>
    <w:rsid w:val="003208C3"/>
    <w:rsid w:val="00320DCB"/>
    <w:rsid w:val="00321C1D"/>
    <w:rsid w:val="003224C3"/>
    <w:rsid w:val="003229F3"/>
    <w:rsid w:val="00323E8E"/>
    <w:rsid w:val="00324412"/>
    <w:rsid w:val="0032504C"/>
    <w:rsid w:val="003258C2"/>
    <w:rsid w:val="00325A68"/>
    <w:rsid w:val="0032657E"/>
    <w:rsid w:val="003269CB"/>
    <w:rsid w:val="003269F8"/>
    <w:rsid w:val="00326C8C"/>
    <w:rsid w:val="00326CDB"/>
    <w:rsid w:val="003309FF"/>
    <w:rsid w:val="00330FD0"/>
    <w:rsid w:val="0033100D"/>
    <w:rsid w:val="0033172F"/>
    <w:rsid w:val="00331EA2"/>
    <w:rsid w:val="0033274D"/>
    <w:rsid w:val="00333436"/>
    <w:rsid w:val="00333A3F"/>
    <w:rsid w:val="0033499E"/>
    <w:rsid w:val="00334F9A"/>
    <w:rsid w:val="00335354"/>
    <w:rsid w:val="0033755D"/>
    <w:rsid w:val="00337CD2"/>
    <w:rsid w:val="00337F91"/>
    <w:rsid w:val="00340482"/>
    <w:rsid w:val="003404FE"/>
    <w:rsid w:val="00341915"/>
    <w:rsid w:val="00341A96"/>
    <w:rsid w:val="00341E12"/>
    <w:rsid w:val="00342D08"/>
    <w:rsid w:val="0034309E"/>
    <w:rsid w:val="00343420"/>
    <w:rsid w:val="0034382B"/>
    <w:rsid w:val="003459CC"/>
    <w:rsid w:val="00346CF4"/>
    <w:rsid w:val="00346DDE"/>
    <w:rsid w:val="003473CF"/>
    <w:rsid w:val="003474F9"/>
    <w:rsid w:val="0034768E"/>
    <w:rsid w:val="00350BAB"/>
    <w:rsid w:val="003516EA"/>
    <w:rsid w:val="00353DA2"/>
    <w:rsid w:val="00353F00"/>
    <w:rsid w:val="0035496C"/>
    <w:rsid w:val="003558E8"/>
    <w:rsid w:val="00356615"/>
    <w:rsid w:val="0035677D"/>
    <w:rsid w:val="00356BFE"/>
    <w:rsid w:val="00356C3B"/>
    <w:rsid w:val="0035716D"/>
    <w:rsid w:val="00357626"/>
    <w:rsid w:val="00360253"/>
    <w:rsid w:val="00361E2B"/>
    <w:rsid w:val="00364078"/>
    <w:rsid w:val="003650F3"/>
    <w:rsid w:val="00365A22"/>
    <w:rsid w:val="00365A40"/>
    <w:rsid w:val="00366C55"/>
    <w:rsid w:val="003673EB"/>
    <w:rsid w:val="003678CF"/>
    <w:rsid w:val="003704EE"/>
    <w:rsid w:val="00370A4F"/>
    <w:rsid w:val="00370EA9"/>
    <w:rsid w:val="00372527"/>
    <w:rsid w:val="00372744"/>
    <w:rsid w:val="00372F89"/>
    <w:rsid w:val="00373907"/>
    <w:rsid w:val="00374B79"/>
    <w:rsid w:val="00374D52"/>
    <w:rsid w:val="00375159"/>
    <w:rsid w:val="003753E5"/>
    <w:rsid w:val="00375561"/>
    <w:rsid w:val="00375C54"/>
    <w:rsid w:val="00375D33"/>
    <w:rsid w:val="0037616E"/>
    <w:rsid w:val="003768E8"/>
    <w:rsid w:val="00376A60"/>
    <w:rsid w:val="00376C25"/>
    <w:rsid w:val="0037718D"/>
    <w:rsid w:val="00377535"/>
    <w:rsid w:val="00377F5E"/>
    <w:rsid w:val="00380717"/>
    <w:rsid w:val="00381A9B"/>
    <w:rsid w:val="00381AE6"/>
    <w:rsid w:val="00382B39"/>
    <w:rsid w:val="00383BDE"/>
    <w:rsid w:val="003844FB"/>
    <w:rsid w:val="00384846"/>
    <w:rsid w:val="00385634"/>
    <w:rsid w:val="00385788"/>
    <w:rsid w:val="0038588F"/>
    <w:rsid w:val="0038663D"/>
    <w:rsid w:val="00386807"/>
    <w:rsid w:val="00386C16"/>
    <w:rsid w:val="00386DE1"/>
    <w:rsid w:val="00386FCF"/>
    <w:rsid w:val="00390749"/>
    <w:rsid w:val="00390A63"/>
    <w:rsid w:val="003916CB"/>
    <w:rsid w:val="00392186"/>
    <w:rsid w:val="00392B7A"/>
    <w:rsid w:val="00393034"/>
    <w:rsid w:val="003934A5"/>
    <w:rsid w:val="00393D40"/>
    <w:rsid w:val="00393F32"/>
    <w:rsid w:val="0039410F"/>
    <w:rsid w:val="003943B5"/>
    <w:rsid w:val="0039752F"/>
    <w:rsid w:val="00397AF0"/>
    <w:rsid w:val="003A1E93"/>
    <w:rsid w:val="003A2AE1"/>
    <w:rsid w:val="003A38BD"/>
    <w:rsid w:val="003A39E5"/>
    <w:rsid w:val="003A3D65"/>
    <w:rsid w:val="003A418A"/>
    <w:rsid w:val="003A444A"/>
    <w:rsid w:val="003A69FD"/>
    <w:rsid w:val="003A7681"/>
    <w:rsid w:val="003A7C3B"/>
    <w:rsid w:val="003A7F12"/>
    <w:rsid w:val="003B0577"/>
    <w:rsid w:val="003B065B"/>
    <w:rsid w:val="003B1238"/>
    <w:rsid w:val="003B1909"/>
    <w:rsid w:val="003B1CBC"/>
    <w:rsid w:val="003B27B5"/>
    <w:rsid w:val="003B4240"/>
    <w:rsid w:val="003B470C"/>
    <w:rsid w:val="003B4C13"/>
    <w:rsid w:val="003B4F5F"/>
    <w:rsid w:val="003B6210"/>
    <w:rsid w:val="003B6903"/>
    <w:rsid w:val="003B6F57"/>
    <w:rsid w:val="003B7BD8"/>
    <w:rsid w:val="003C0145"/>
    <w:rsid w:val="003C1D5D"/>
    <w:rsid w:val="003C1EB4"/>
    <w:rsid w:val="003C48D7"/>
    <w:rsid w:val="003C49D0"/>
    <w:rsid w:val="003C5E91"/>
    <w:rsid w:val="003C5FC4"/>
    <w:rsid w:val="003C6BCF"/>
    <w:rsid w:val="003C76CC"/>
    <w:rsid w:val="003C7A3A"/>
    <w:rsid w:val="003C7CB1"/>
    <w:rsid w:val="003C7D98"/>
    <w:rsid w:val="003C7E98"/>
    <w:rsid w:val="003D149C"/>
    <w:rsid w:val="003D14DE"/>
    <w:rsid w:val="003D23D8"/>
    <w:rsid w:val="003D43CF"/>
    <w:rsid w:val="003D44BA"/>
    <w:rsid w:val="003D46FA"/>
    <w:rsid w:val="003D661C"/>
    <w:rsid w:val="003D6D0A"/>
    <w:rsid w:val="003D74B0"/>
    <w:rsid w:val="003D7A3C"/>
    <w:rsid w:val="003E20C3"/>
    <w:rsid w:val="003E2601"/>
    <w:rsid w:val="003E2BEE"/>
    <w:rsid w:val="003E3704"/>
    <w:rsid w:val="003E3B8E"/>
    <w:rsid w:val="003E4D11"/>
    <w:rsid w:val="003E4E93"/>
    <w:rsid w:val="003E7148"/>
    <w:rsid w:val="003E7554"/>
    <w:rsid w:val="003E7854"/>
    <w:rsid w:val="003F0A60"/>
    <w:rsid w:val="003F0B04"/>
    <w:rsid w:val="003F0C3D"/>
    <w:rsid w:val="003F111F"/>
    <w:rsid w:val="003F1258"/>
    <w:rsid w:val="003F1E82"/>
    <w:rsid w:val="003F2275"/>
    <w:rsid w:val="003F2ABC"/>
    <w:rsid w:val="003F2F9A"/>
    <w:rsid w:val="003F37F2"/>
    <w:rsid w:val="003F38E1"/>
    <w:rsid w:val="003F4309"/>
    <w:rsid w:val="003F4432"/>
    <w:rsid w:val="003F4468"/>
    <w:rsid w:val="003F4F59"/>
    <w:rsid w:val="003F63FD"/>
    <w:rsid w:val="003F6E65"/>
    <w:rsid w:val="003F71FE"/>
    <w:rsid w:val="004030AD"/>
    <w:rsid w:val="00403F8E"/>
    <w:rsid w:val="00404337"/>
    <w:rsid w:val="00404D38"/>
    <w:rsid w:val="004055D6"/>
    <w:rsid w:val="0040592D"/>
    <w:rsid w:val="0040647C"/>
    <w:rsid w:val="004068F2"/>
    <w:rsid w:val="00406BC0"/>
    <w:rsid w:val="00406D20"/>
    <w:rsid w:val="00410968"/>
    <w:rsid w:val="004110DB"/>
    <w:rsid w:val="004124A3"/>
    <w:rsid w:val="004124AC"/>
    <w:rsid w:val="00412A52"/>
    <w:rsid w:val="00412F43"/>
    <w:rsid w:val="004144D5"/>
    <w:rsid w:val="00414569"/>
    <w:rsid w:val="00415D22"/>
    <w:rsid w:val="004219F1"/>
    <w:rsid w:val="00421DE1"/>
    <w:rsid w:val="00421F91"/>
    <w:rsid w:val="00423C29"/>
    <w:rsid w:val="00424EBB"/>
    <w:rsid w:val="00424EC4"/>
    <w:rsid w:val="004256AE"/>
    <w:rsid w:val="00425EF7"/>
    <w:rsid w:val="00426A53"/>
    <w:rsid w:val="00426E5B"/>
    <w:rsid w:val="00427974"/>
    <w:rsid w:val="00427D22"/>
    <w:rsid w:val="004320A6"/>
    <w:rsid w:val="0043216D"/>
    <w:rsid w:val="00432C5A"/>
    <w:rsid w:val="00432CC7"/>
    <w:rsid w:val="0043318D"/>
    <w:rsid w:val="004331B1"/>
    <w:rsid w:val="0043330C"/>
    <w:rsid w:val="00433E29"/>
    <w:rsid w:val="00435261"/>
    <w:rsid w:val="00435278"/>
    <w:rsid w:val="004355C1"/>
    <w:rsid w:val="00436102"/>
    <w:rsid w:val="00436804"/>
    <w:rsid w:val="00436FF3"/>
    <w:rsid w:val="004371DB"/>
    <w:rsid w:val="0043736B"/>
    <w:rsid w:val="004402C9"/>
    <w:rsid w:val="004408F4"/>
    <w:rsid w:val="00440C68"/>
    <w:rsid w:val="00440E9B"/>
    <w:rsid w:val="00442255"/>
    <w:rsid w:val="00442502"/>
    <w:rsid w:val="00442AE2"/>
    <w:rsid w:val="00442BD3"/>
    <w:rsid w:val="00443486"/>
    <w:rsid w:val="004438DA"/>
    <w:rsid w:val="00443FBE"/>
    <w:rsid w:val="0044467E"/>
    <w:rsid w:val="0044481C"/>
    <w:rsid w:val="0044561E"/>
    <w:rsid w:val="00451BA4"/>
    <w:rsid w:val="00452B59"/>
    <w:rsid w:val="0045311B"/>
    <w:rsid w:val="0045316B"/>
    <w:rsid w:val="00453718"/>
    <w:rsid w:val="004538D1"/>
    <w:rsid w:val="00453E64"/>
    <w:rsid w:val="00454024"/>
    <w:rsid w:val="004543A1"/>
    <w:rsid w:val="00454839"/>
    <w:rsid w:val="00455B2A"/>
    <w:rsid w:val="004562BF"/>
    <w:rsid w:val="004572F0"/>
    <w:rsid w:val="004576EE"/>
    <w:rsid w:val="00460054"/>
    <w:rsid w:val="0046023D"/>
    <w:rsid w:val="004604B9"/>
    <w:rsid w:val="0046077D"/>
    <w:rsid w:val="00460D57"/>
    <w:rsid w:val="004612F7"/>
    <w:rsid w:val="004615F7"/>
    <w:rsid w:val="00461F65"/>
    <w:rsid w:val="00462678"/>
    <w:rsid w:val="00462AF3"/>
    <w:rsid w:val="00463EEA"/>
    <w:rsid w:val="004642B3"/>
    <w:rsid w:val="004649C8"/>
    <w:rsid w:val="00465A6E"/>
    <w:rsid w:val="00465B4A"/>
    <w:rsid w:val="00465ED0"/>
    <w:rsid w:val="00466738"/>
    <w:rsid w:val="00466C97"/>
    <w:rsid w:val="00466CAF"/>
    <w:rsid w:val="00467D95"/>
    <w:rsid w:val="0047074A"/>
    <w:rsid w:val="00470B4A"/>
    <w:rsid w:val="00470FD5"/>
    <w:rsid w:val="0047125F"/>
    <w:rsid w:val="00472AF2"/>
    <w:rsid w:val="00472B3D"/>
    <w:rsid w:val="00474CB3"/>
    <w:rsid w:val="0047531C"/>
    <w:rsid w:val="0047583E"/>
    <w:rsid w:val="004764C9"/>
    <w:rsid w:val="00476718"/>
    <w:rsid w:val="00476986"/>
    <w:rsid w:val="00477907"/>
    <w:rsid w:val="00477C3C"/>
    <w:rsid w:val="004819F2"/>
    <w:rsid w:val="004829FA"/>
    <w:rsid w:val="00483896"/>
    <w:rsid w:val="00483A4A"/>
    <w:rsid w:val="004848AE"/>
    <w:rsid w:val="00484B51"/>
    <w:rsid w:val="0048545F"/>
    <w:rsid w:val="00487EDB"/>
    <w:rsid w:val="0049014E"/>
    <w:rsid w:val="004905F0"/>
    <w:rsid w:val="00490AFC"/>
    <w:rsid w:val="00490C6A"/>
    <w:rsid w:val="00491D7A"/>
    <w:rsid w:val="004921B9"/>
    <w:rsid w:val="00492520"/>
    <w:rsid w:val="00492DF0"/>
    <w:rsid w:val="0049376A"/>
    <w:rsid w:val="00493B56"/>
    <w:rsid w:val="00494917"/>
    <w:rsid w:val="004950CF"/>
    <w:rsid w:val="0049570E"/>
    <w:rsid w:val="00497110"/>
    <w:rsid w:val="004A0E06"/>
    <w:rsid w:val="004A155D"/>
    <w:rsid w:val="004A1E01"/>
    <w:rsid w:val="004A2C06"/>
    <w:rsid w:val="004A2C80"/>
    <w:rsid w:val="004A2D23"/>
    <w:rsid w:val="004A2F79"/>
    <w:rsid w:val="004A39AD"/>
    <w:rsid w:val="004A3D74"/>
    <w:rsid w:val="004A419C"/>
    <w:rsid w:val="004A4530"/>
    <w:rsid w:val="004A735F"/>
    <w:rsid w:val="004A75B1"/>
    <w:rsid w:val="004A7CB8"/>
    <w:rsid w:val="004B0141"/>
    <w:rsid w:val="004B0F54"/>
    <w:rsid w:val="004B16E6"/>
    <w:rsid w:val="004B18A5"/>
    <w:rsid w:val="004B1A0E"/>
    <w:rsid w:val="004B1C0F"/>
    <w:rsid w:val="004B1E9C"/>
    <w:rsid w:val="004B29F0"/>
    <w:rsid w:val="004B3EA0"/>
    <w:rsid w:val="004B3F08"/>
    <w:rsid w:val="004B3F74"/>
    <w:rsid w:val="004B415B"/>
    <w:rsid w:val="004B4903"/>
    <w:rsid w:val="004B5027"/>
    <w:rsid w:val="004B513B"/>
    <w:rsid w:val="004B5931"/>
    <w:rsid w:val="004B5B8A"/>
    <w:rsid w:val="004B5FDD"/>
    <w:rsid w:val="004B64FB"/>
    <w:rsid w:val="004B677F"/>
    <w:rsid w:val="004C0263"/>
    <w:rsid w:val="004C0337"/>
    <w:rsid w:val="004C0795"/>
    <w:rsid w:val="004C0CD3"/>
    <w:rsid w:val="004C1C4D"/>
    <w:rsid w:val="004C1FB9"/>
    <w:rsid w:val="004C37B0"/>
    <w:rsid w:val="004C3ECB"/>
    <w:rsid w:val="004C4233"/>
    <w:rsid w:val="004C45B5"/>
    <w:rsid w:val="004C48B2"/>
    <w:rsid w:val="004C53D1"/>
    <w:rsid w:val="004C572A"/>
    <w:rsid w:val="004C6EFE"/>
    <w:rsid w:val="004C6F8F"/>
    <w:rsid w:val="004C70AF"/>
    <w:rsid w:val="004C72C2"/>
    <w:rsid w:val="004C7D4A"/>
    <w:rsid w:val="004D0007"/>
    <w:rsid w:val="004D03EA"/>
    <w:rsid w:val="004D097E"/>
    <w:rsid w:val="004D1108"/>
    <w:rsid w:val="004D1EC3"/>
    <w:rsid w:val="004D2027"/>
    <w:rsid w:val="004D256D"/>
    <w:rsid w:val="004D2ADF"/>
    <w:rsid w:val="004D3D1E"/>
    <w:rsid w:val="004D3E9E"/>
    <w:rsid w:val="004D418D"/>
    <w:rsid w:val="004D4536"/>
    <w:rsid w:val="004D53EC"/>
    <w:rsid w:val="004D5908"/>
    <w:rsid w:val="004D5BD4"/>
    <w:rsid w:val="004D6F95"/>
    <w:rsid w:val="004D771B"/>
    <w:rsid w:val="004D772D"/>
    <w:rsid w:val="004D7E5E"/>
    <w:rsid w:val="004E074F"/>
    <w:rsid w:val="004E0ED8"/>
    <w:rsid w:val="004E19C1"/>
    <w:rsid w:val="004E3244"/>
    <w:rsid w:val="004E3D75"/>
    <w:rsid w:val="004E4137"/>
    <w:rsid w:val="004E57E9"/>
    <w:rsid w:val="004E607F"/>
    <w:rsid w:val="004E710A"/>
    <w:rsid w:val="004E7E50"/>
    <w:rsid w:val="004F001F"/>
    <w:rsid w:val="004F010C"/>
    <w:rsid w:val="004F0880"/>
    <w:rsid w:val="004F0D31"/>
    <w:rsid w:val="004F1289"/>
    <w:rsid w:val="004F1998"/>
    <w:rsid w:val="004F1DFA"/>
    <w:rsid w:val="004F1FAF"/>
    <w:rsid w:val="004F22DC"/>
    <w:rsid w:val="004F426F"/>
    <w:rsid w:val="004F469A"/>
    <w:rsid w:val="004F54F4"/>
    <w:rsid w:val="004F5D55"/>
    <w:rsid w:val="004F6225"/>
    <w:rsid w:val="004F70E8"/>
    <w:rsid w:val="004F71D6"/>
    <w:rsid w:val="004F734D"/>
    <w:rsid w:val="00500DA5"/>
    <w:rsid w:val="005023AA"/>
    <w:rsid w:val="00502E1D"/>
    <w:rsid w:val="005033BE"/>
    <w:rsid w:val="0050340A"/>
    <w:rsid w:val="00503BF4"/>
    <w:rsid w:val="00503C32"/>
    <w:rsid w:val="00504514"/>
    <w:rsid w:val="005047FD"/>
    <w:rsid w:val="00505260"/>
    <w:rsid w:val="00505589"/>
    <w:rsid w:val="005064F1"/>
    <w:rsid w:val="00506CA8"/>
    <w:rsid w:val="005105F2"/>
    <w:rsid w:val="00510E80"/>
    <w:rsid w:val="00511104"/>
    <w:rsid w:val="005115E4"/>
    <w:rsid w:val="005115EE"/>
    <w:rsid w:val="005118CA"/>
    <w:rsid w:val="005119A4"/>
    <w:rsid w:val="00511AF1"/>
    <w:rsid w:val="00511CDF"/>
    <w:rsid w:val="005121EC"/>
    <w:rsid w:val="0051279B"/>
    <w:rsid w:val="00512967"/>
    <w:rsid w:val="005130EC"/>
    <w:rsid w:val="00514194"/>
    <w:rsid w:val="005144F4"/>
    <w:rsid w:val="00514579"/>
    <w:rsid w:val="00515D9A"/>
    <w:rsid w:val="0051600A"/>
    <w:rsid w:val="00516D01"/>
    <w:rsid w:val="0051703A"/>
    <w:rsid w:val="005172AC"/>
    <w:rsid w:val="00517DF2"/>
    <w:rsid w:val="00517E01"/>
    <w:rsid w:val="00520456"/>
    <w:rsid w:val="00520A9A"/>
    <w:rsid w:val="00520AB3"/>
    <w:rsid w:val="00520ABA"/>
    <w:rsid w:val="0052137D"/>
    <w:rsid w:val="00521696"/>
    <w:rsid w:val="0052205C"/>
    <w:rsid w:val="00522783"/>
    <w:rsid w:val="00522E1A"/>
    <w:rsid w:val="005234AB"/>
    <w:rsid w:val="0052375E"/>
    <w:rsid w:val="00523B63"/>
    <w:rsid w:val="00524B11"/>
    <w:rsid w:val="00524B56"/>
    <w:rsid w:val="00524D1A"/>
    <w:rsid w:val="00526213"/>
    <w:rsid w:val="005267D2"/>
    <w:rsid w:val="00526820"/>
    <w:rsid w:val="00526AA0"/>
    <w:rsid w:val="005275AE"/>
    <w:rsid w:val="00527C04"/>
    <w:rsid w:val="00527E22"/>
    <w:rsid w:val="0053068F"/>
    <w:rsid w:val="00530F8C"/>
    <w:rsid w:val="00531B01"/>
    <w:rsid w:val="0053290D"/>
    <w:rsid w:val="00532A69"/>
    <w:rsid w:val="00533405"/>
    <w:rsid w:val="00533788"/>
    <w:rsid w:val="005338ED"/>
    <w:rsid w:val="00534D5D"/>
    <w:rsid w:val="00535DF0"/>
    <w:rsid w:val="00540264"/>
    <w:rsid w:val="00540D8B"/>
    <w:rsid w:val="00540E6D"/>
    <w:rsid w:val="005412C8"/>
    <w:rsid w:val="005417D1"/>
    <w:rsid w:val="00541C25"/>
    <w:rsid w:val="0054313B"/>
    <w:rsid w:val="00544525"/>
    <w:rsid w:val="00544FEF"/>
    <w:rsid w:val="00545757"/>
    <w:rsid w:val="005463C4"/>
    <w:rsid w:val="00546C54"/>
    <w:rsid w:val="00547277"/>
    <w:rsid w:val="0054727F"/>
    <w:rsid w:val="0055043B"/>
    <w:rsid w:val="00550614"/>
    <w:rsid w:val="00550881"/>
    <w:rsid w:val="0055136A"/>
    <w:rsid w:val="00551C43"/>
    <w:rsid w:val="0055201E"/>
    <w:rsid w:val="0055248B"/>
    <w:rsid w:val="0055291E"/>
    <w:rsid w:val="00553876"/>
    <w:rsid w:val="00554E4A"/>
    <w:rsid w:val="00556D7A"/>
    <w:rsid w:val="0055719B"/>
    <w:rsid w:val="00560169"/>
    <w:rsid w:val="0056078F"/>
    <w:rsid w:val="005619E8"/>
    <w:rsid w:val="005623D4"/>
    <w:rsid w:val="00562CE5"/>
    <w:rsid w:val="00562DDE"/>
    <w:rsid w:val="00563F82"/>
    <w:rsid w:val="005650A0"/>
    <w:rsid w:val="00565C83"/>
    <w:rsid w:val="0056652E"/>
    <w:rsid w:val="00567836"/>
    <w:rsid w:val="00567CB2"/>
    <w:rsid w:val="005700AD"/>
    <w:rsid w:val="005704D1"/>
    <w:rsid w:val="00571238"/>
    <w:rsid w:val="00571D79"/>
    <w:rsid w:val="00571EB0"/>
    <w:rsid w:val="00572670"/>
    <w:rsid w:val="00572C32"/>
    <w:rsid w:val="0057347F"/>
    <w:rsid w:val="00573E7F"/>
    <w:rsid w:val="0057427F"/>
    <w:rsid w:val="005742EC"/>
    <w:rsid w:val="00575272"/>
    <w:rsid w:val="00577851"/>
    <w:rsid w:val="00581977"/>
    <w:rsid w:val="00581FEA"/>
    <w:rsid w:val="0058240F"/>
    <w:rsid w:val="005825B0"/>
    <w:rsid w:val="00583168"/>
    <w:rsid w:val="005839BC"/>
    <w:rsid w:val="0058416B"/>
    <w:rsid w:val="005845CF"/>
    <w:rsid w:val="00584CE9"/>
    <w:rsid w:val="00584D6B"/>
    <w:rsid w:val="005853F5"/>
    <w:rsid w:val="00586ACA"/>
    <w:rsid w:val="00586DD7"/>
    <w:rsid w:val="0059106C"/>
    <w:rsid w:val="005917B2"/>
    <w:rsid w:val="00591DE7"/>
    <w:rsid w:val="005929FF"/>
    <w:rsid w:val="00593073"/>
    <w:rsid w:val="0059437E"/>
    <w:rsid w:val="0059466C"/>
    <w:rsid w:val="00594955"/>
    <w:rsid w:val="00595616"/>
    <w:rsid w:val="00595B9D"/>
    <w:rsid w:val="00595FB1"/>
    <w:rsid w:val="00597101"/>
    <w:rsid w:val="005971D5"/>
    <w:rsid w:val="00597687"/>
    <w:rsid w:val="005A009F"/>
    <w:rsid w:val="005A079A"/>
    <w:rsid w:val="005A1400"/>
    <w:rsid w:val="005A1C6A"/>
    <w:rsid w:val="005A2210"/>
    <w:rsid w:val="005A278B"/>
    <w:rsid w:val="005A2A38"/>
    <w:rsid w:val="005A41D8"/>
    <w:rsid w:val="005A450F"/>
    <w:rsid w:val="005A4BCE"/>
    <w:rsid w:val="005A52BA"/>
    <w:rsid w:val="005A5326"/>
    <w:rsid w:val="005A5D57"/>
    <w:rsid w:val="005A5FE5"/>
    <w:rsid w:val="005A615F"/>
    <w:rsid w:val="005A7494"/>
    <w:rsid w:val="005B07BA"/>
    <w:rsid w:val="005B12B4"/>
    <w:rsid w:val="005B14D4"/>
    <w:rsid w:val="005B24DE"/>
    <w:rsid w:val="005B2A9D"/>
    <w:rsid w:val="005B2AF7"/>
    <w:rsid w:val="005B300F"/>
    <w:rsid w:val="005B39FB"/>
    <w:rsid w:val="005B3D97"/>
    <w:rsid w:val="005B4AC4"/>
    <w:rsid w:val="005B4CA8"/>
    <w:rsid w:val="005B5012"/>
    <w:rsid w:val="005B5D43"/>
    <w:rsid w:val="005B625D"/>
    <w:rsid w:val="005B6523"/>
    <w:rsid w:val="005C0DA6"/>
    <w:rsid w:val="005C1FC3"/>
    <w:rsid w:val="005C2804"/>
    <w:rsid w:val="005C299E"/>
    <w:rsid w:val="005C4675"/>
    <w:rsid w:val="005C4942"/>
    <w:rsid w:val="005C5025"/>
    <w:rsid w:val="005C578F"/>
    <w:rsid w:val="005C5E1C"/>
    <w:rsid w:val="005C7025"/>
    <w:rsid w:val="005C77CC"/>
    <w:rsid w:val="005D020F"/>
    <w:rsid w:val="005D0AE6"/>
    <w:rsid w:val="005D0F50"/>
    <w:rsid w:val="005D2408"/>
    <w:rsid w:val="005D25A1"/>
    <w:rsid w:val="005D2B79"/>
    <w:rsid w:val="005D58C0"/>
    <w:rsid w:val="005D5A45"/>
    <w:rsid w:val="005D5D67"/>
    <w:rsid w:val="005D66C7"/>
    <w:rsid w:val="005D7077"/>
    <w:rsid w:val="005D71B1"/>
    <w:rsid w:val="005D75E2"/>
    <w:rsid w:val="005E00A0"/>
    <w:rsid w:val="005E0424"/>
    <w:rsid w:val="005E115D"/>
    <w:rsid w:val="005E1497"/>
    <w:rsid w:val="005E1873"/>
    <w:rsid w:val="005E2833"/>
    <w:rsid w:val="005E2F3C"/>
    <w:rsid w:val="005E3093"/>
    <w:rsid w:val="005E32C8"/>
    <w:rsid w:val="005E3BE4"/>
    <w:rsid w:val="005E4005"/>
    <w:rsid w:val="005E40ED"/>
    <w:rsid w:val="005E4AB5"/>
    <w:rsid w:val="005E5A55"/>
    <w:rsid w:val="005E6378"/>
    <w:rsid w:val="005E6C54"/>
    <w:rsid w:val="005E6C9C"/>
    <w:rsid w:val="005E6D6B"/>
    <w:rsid w:val="005F0BE5"/>
    <w:rsid w:val="005F0EC7"/>
    <w:rsid w:val="005F0FFB"/>
    <w:rsid w:val="005F2131"/>
    <w:rsid w:val="005F21AA"/>
    <w:rsid w:val="005F2DC4"/>
    <w:rsid w:val="005F3454"/>
    <w:rsid w:val="005F3CEB"/>
    <w:rsid w:val="005F400F"/>
    <w:rsid w:val="005F4A96"/>
    <w:rsid w:val="005F5813"/>
    <w:rsid w:val="005F59E6"/>
    <w:rsid w:val="005F5E24"/>
    <w:rsid w:val="005F5F14"/>
    <w:rsid w:val="005F5F32"/>
    <w:rsid w:val="006008A3"/>
    <w:rsid w:val="006008E6"/>
    <w:rsid w:val="00600F3B"/>
    <w:rsid w:val="0060186B"/>
    <w:rsid w:val="0060264C"/>
    <w:rsid w:val="0060321E"/>
    <w:rsid w:val="006038C3"/>
    <w:rsid w:val="00603F7F"/>
    <w:rsid w:val="006046BD"/>
    <w:rsid w:val="0060471E"/>
    <w:rsid w:val="00604C58"/>
    <w:rsid w:val="00604FA7"/>
    <w:rsid w:val="0060582C"/>
    <w:rsid w:val="00605963"/>
    <w:rsid w:val="006060D3"/>
    <w:rsid w:val="00610665"/>
    <w:rsid w:val="006110AA"/>
    <w:rsid w:val="00611169"/>
    <w:rsid w:val="0061228A"/>
    <w:rsid w:val="006127E7"/>
    <w:rsid w:val="00612A62"/>
    <w:rsid w:val="00613EB2"/>
    <w:rsid w:val="00614CC6"/>
    <w:rsid w:val="006156E3"/>
    <w:rsid w:val="00615870"/>
    <w:rsid w:val="0061602B"/>
    <w:rsid w:val="006179CA"/>
    <w:rsid w:val="00617E17"/>
    <w:rsid w:val="006208E4"/>
    <w:rsid w:val="0062181A"/>
    <w:rsid w:val="00621D2C"/>
    <w:rsid w:val="00622076"/>
    <w:rsid w:val="00624051"/>
    <w:rsid w:val="00624E6A"/>
    <w:rsid w:val="0062554D"/>
    <w:rsid w:val="00625D28"/>
    <w:rsid w:val="00625E2C"/>
    <w:rsid w:val="00625EF5"/>
    <w:rsid w:val="0062629B"/>
    <w:rsid w:val="00626AB8"/>
    <w:rsid w:val="006276C7"/>
    <w:rsid w:val="00627D38"/>
    <w:rsid w:val="006303BB"/>
    <w:rsid w:val="0063105D"/>
    <w:rsid w:val="00631364"/>
    <w:rsid w:val="006317CC"/>
    <w:rsid w:val="006317D3"/>
    <w:rsid w:val="00633049"/>
    <w:rsid w:val="00633641"/>
    <w:rsid w:val="0063383E"/>
    <w:rsid w:val="00633B69"/>
    <w:rsid w:val="00633D88"/>
    <w:rsid w:val="006348FF"/>
    <w:rsid w:val="00634DC0"/>
    <w:rsid w:val="00635445"/>
    <w:rsid w:val="00635A4B"/>
    <w:rsid w:val="006366BB"/>
    <w:rsid w:val="00636B5B"/>
    <w:rsid w:val="00636E00"/>
    <w:rsid w:val="00637BD8"/>
    <w:rsid w:val="00637CF7"/>
    <w:rsid w:val="00641AD2"/>
    <w:rsid w:val="00642015"/>
    <w:rsid w:val="00642539"/>
    <w:rsid w:val="00643BDC"/>
    <w:rsid w:val="00644648"/>
    <w:rsid w:val="006449E0"/>
    <w:rsid w:val="00645301"/>
    <w:rsid w:val="006468A3"/>
    <w:rsid w:val="00646E57"/>
    <w:rsid w:val="006471A1"/>
    <w:rsid w:val="006475D7"/>
    <w:rsid w:val="006478FE"/>
    <w:rsid w:val="00647FDE"/>
    <w:rsid w:val="006500D6"/>
    <w:rsid w:val="00650B3A"/>
    <w:rsid w:val="00651A65"/>
    <w:rsid w:val="00651AF8"/>
    <w:rsid w:val="00651D81"/>
    <w:rsid w:val="0065210F"/>
    <w:rsid w:val="00652B2F"/>
    <w:rsid w:val="00652FF4"/>
    <w:rsid w:val="00653416"/>
    <w:rsid w:val="00653822"/>
    <w:rsid w:val="00653DBF"/>
    <w:rsid w:val="006547BA"/>
    <w:rsid w:val="00654809"/>
    <w:rsid w:val="006557C2"/>
    <w:rsid w:val="00655CAC"/>
    <w:rsid w:val="00656564"/>
    <w:rsid w:val="00656BAF"/>
    <w:rsid w:val="00661B25"/>
    <w:rsid w:val="00662383"/>
    <w:rsid w:val="006633B6"/>
    <w:rsid w:val="00663434"/>
    <w:rsid w:val="00663458"/>
    <w:rsid w:val="006634B1"/>
    <w:rsid w:val="00663A4D"/>
    <w:rsid w:val="00664B67"/>
    <w:rsid w:val="006656C4"/>
    <w:rsid w:val="006660D1"/>
    <w:rsid w:val="00667074"/>
    <w:rsid w:val="0066719B"/>
    <w:rsid w:val="00667370"/>
    <w:rsid w:val="0066769D"/>
    <w:rsid w:val="006676DB"/>
    <w:rsid w:val="0066794D"/>
    <w:rsid w:val="00667A63"/>
    <w:rsid w:val="006706C5"/>
    <w:rsid w:val="00670B5C"/>
    <w:rsid w:val="006710F7"/>
    <w:rsid w:val="00671A90"/>
    <w:rsid w:val="00671E80"/>
    <w:rsid w:val="006729FB"/>
    <w:rsid w:val="00673715"/>
    <w:rsid w:val="00673BC4"/>
    <w:rsid w:val="00673E1F"/>
    <w:rsid w:val="00674505"/>
    <w:rsid w:val="00674BB7"/>
    <w:rsid w:val="00674FBD"/>
    <w:rsid w:val="0067552B"/>
    <w:rsid w:val="006761F8"/>
    <w:rsid w:val="006777EC"/>
    <w:rsid w:val="006806B1"/>
    <w:rsid w:val="006810DA"/>
    <w:rsid w:val="006818D1"/>
    <w:rsid w:val="00681DF8"/>
    <w:rsid w:val="0068265A"/>
    <w:rsid w:val="0068277F"/>
    <w:rsid w:val="0068348D"/>
    <w:rsid w:val="00683536"/>
    <w:rsid w:val="00683D63"/>
    <w:rsid w:val="00684140"/>
    <w:rsid w:val="00684ECE"/>
    <w:rsid w:val="00684FFE"/>
    <w:rsid w:val="006850FD"/>
    <w:rsid w:val="006855CA"/>
    <w:rsid w:val="00685C64"/>
    <w:rsid w:val="006861E3"/>
    <w:rsid w:val="00686249"/>
    <w:rsid w:val="00686D9D"/>
    <w:rsid w:val="0069084E"/>
    <w:rsid w:val="00691506"/>
    <w:rsid w:val="00691FFF"/>
    <w:rsid w:val="006924FA"/>
    <w:rsid w:val="00693468"/>
    <w:rsid w:val="006938F4"/>
    <w:rsid w:val="00693E2F"/>
    <w:rsid w:val="0069467C"/>
    <w:rsid w:val="00695144"/>
    <w:rsid w:val="0069582E"/>
    <w:rsid w:val="006963CF"/>
    <w:rsid w:val="0069792E"/>
    <w:rsid w:val="006A0610"/>
    <w:rsid w:val="006A2235"/>
    <w:rsid w:val="006A2E51"/>
    <w:rsid w:val="006A371D"/>
    <w:rsid w:val="006A3DC0"/>
    <w:rsid w:val="006A43DF"/>
    <w:rsid w:val="006A4A05"/>
    <w:rsid w:val="006A4BD4"/>
    <w:rsid w:val="006A50FE"/>
    <w:rsid w:val="006A533C"/>
    <w:rsid w:val="006A5672"/>
    <w:rsid w:val="006A5BDA"/>
    <w:rsid w:val="006A5CB6"/>
    <w:rsid w:val="006A621A"/>
    <w:rsid w:val="006A62E5"/>
    <w:rsid w:val="006A6877"/>
    <w:rsid w:val="006A68C3"/>
    <w:rsid w:val="006A699C"/>
    <w:rsid w:val="006A6B87"/>
    <w:rsid w:val="006A6C1A"/>
    <w:rsid w:val="006A71CF"/>
    <w:rsid w:val="006B021C"/>
    <w:rsid w:val="006B0334"/>
    <w:rsid w:val="006B279F"/>
    <w:rsid w:val="006B2BED"/>
    <w:rsid w:val="006B2E00"/>
    <w:rsid w:val="006B3180"/>
    <w:rsid w:val="006B493F"/>
    <w:rsid w:val="006B4BE0"/>
    <w:rsid w:val="006B5279"/>
    <w:rsid w:val="006B634C"/>
    <w:rsid w:val="006B69AD"/>
    <w:rsid w:val="006B7E9D"/>
    <w:rsid w:val="006B7ED3"/>
    <w:rsid w:val="006C15F6"/>
    <w:rsid w:val="006C1A19"/>
    <w:rsid w:val="006C1A40"/>
    <w:rsid w:val="006C2314"/>
    <w:rsid w:val="006C258E"/>
    <w:rsid w:val="006C4BFA"/>
    <w:rsid w:val="006C4F57"/>
    <w:rsid w:val="006C5796"/>
    <w:rsid w:val="006C6A01"/>
    <w:rsid w:val="006C6A12"/>
    <w:rsid w:val="006C6E62"/>
    <w:rsid w:val="006C720E"/>
    <w:rsid w:val="006C75F6"/>
    <w:rsid w:val="006D063E"/>
    <w:rsid w:val="006D07CA"/>
    <w:rsid w:val="006D171E"/>
    <w:rsid w:val="006D262E"/>
    <w:rsid w:val="006D2711"/>
    <w:rsid w:val="006D3DAB"/>
    <w:rsid w:val="006D4D41"/>
    <w:rsid w:val="006D53F0"/>
    <w:rsid w:val="006D5532"/>
    <w:rsid w:val="006D5B82"/>
    <w:rsid w:val="006D67BF"/>
    <w:rsid w:val="006D75AC"/>
    <w:rsid w:val="006E0643"/>
    <w:rsid w:val="006E0E80"/>
    <w:rsid w:val="006E0E8B"/>
    <w:rsid w:val="006E1762"/>
    <w:rsid w:val="006E17B4"/>
    <w:rsid w:val="006E1AD7"/>
    <w:rsid w:val="006E20E1"/>
    <w:rsid w:val="006E38B0"/>
    <w:rsid w:val="006E3F8F"/>
    <w:rsid w:val="006E5245"/>
    <w:rsid w:val="006E554C"/>
    <w:rsid w:val="006E5800"/>
    <w:rsid w:val="006E6B70"/>
    <w:rsid w:val="006E6B99"/>
    <w:rsid w:val="006E6CA9"/>
    <w:rsid w:val="006E782B"/>
    <w:rsid w:val="006F0015"/>
    <w:rsid w:val="006F2347"/>
    <w:rsid w:val="006F3D32"/>
    <w:rsid w:val="006F43D4"/>
    <w:rsid w:val="006F60FC"/>
    <w:rsid w:val="006F6A49"/>
    <w:rsid w:val="006F6D05"/>
    <w:rsid w:val="006F7034"/>
    <w:rsid w:val="0070029C"/>
    <w:rsid w:val="007002B9"/>
    <w:rsid w:val="00700DAF"/>
    <w:rsid w:val="007018DF"/>
    <w:rsid w:val="00702582"/>
    <w:rsid w:val="00703865"/>
    <w:rsid w:val="00704A00"/>
    <w:rsid w:val="00704D0B"/>
    <w:rsid w:val="00704E16"/>
    <w:rsid w:val="00705395"/>
    <w:rsid w:val="00705783"/>
    <w:rsid w:val="007057E6"/>
    <w:rsid w:val="00705B0C"/>
    <w:rsid w:val="00705DFF"/>
    <w:rsid w:val="00705EEE"/>
    <w:rsid w:val="00706377"/>
    <w:rsid w:val="0070639D"/>
    <w:rsid w:val="00706563"/>
    <w:rsid w:val="0070690A"/>
    <w:rsid w:val="007074B6"/>
    <w:rsid w:val="00710CAE"/>
    <w:rsid w:val="00710FD5"/>
    <w:rsid w:val="007113DE"/>
    <w:rsid w:val="00711671"/>
    <w:rsid w:val="00711C79"/>
    <w:rsid w:val="0071481C"/>
    <w:rsid w:val="00714C55"/>
    <w:rsid w:val="007151B9"/>
    <w:rsid w:val="00715292"/>
    <w:rsid w:val="00715C06"/>
    <w:rsid w:val="00716168"/>
    <w:rsid w:val="00716B4D"/>
    <w:rsid w:val="007175D7"/>
    <w:rsid w:val="007176FE"/>
    <w:rsid w:val="00717B72"/>
    <w:rsid w:val="00717C29"/>
    <w:rsid w:val="00717FF5"/>
    <w:rsid w:val="00720C81"/>
    <w:rsid w:val="007228D8"/>
    <w:rsid w:val="00722AF7"/>
    <w:rsid w:val="00723431"/>
    <w:rsid w:val="00723828"/>
    <w:rsid w:val="00723A36"/>
    <w:rsid w:val="00724FA7"/>
    <w:rsid w:val="00725CC9"/>
    <w:rsid w:val="00725EA2"/>
    <w:rsid w:val="00726173"/>
    <w:rsid w:val="00726718"/>
    <w:rsid w:val="00726DD8"/>
    <w:rsid w:val="00726EAE"/>
    <w:rsid w:val="00732802"/>
    <w:rsid w:val="00733867"/>
    <w:rsid w:val="00733C00"/>
    <w:rsid w:val="00733C15"/>
    <w:rsid w:val="00734AA1"/>
    <w:rsid w:val="00734AFB"/>
    <w:rsid w:val="0073542B"/>
    <w:rsid w:val="00735DA4"/>
    <w:rsid w:val="00736301"/>
    <w:rsid w:val="00737ED5"/>
    <w:rsid w:val="00740663"/>
    <w:rsid w:val="007406B2"/>
    <w:rsid w:val="00740972"/>
    <w:rsid w:val="00740B6A"/>
    <w:rsid w:val="00742159"/>
    <w:rsid w:val="00743202"/>
    <w:rsid w:val="00743253"/>
    <w:rsid w:val="00744277"/>
    <w:rsid w:val="00744FE9"/>
    <w:rsid w:val="00745E9E"/>
    <w:rsid w:val="00746131"/>
    <w:rsid w:val="00746C17"/>
    <w:rsid w:val="00746E4C"/>
    <w:rsid w:val="007470FE"/>
    <w:rsid w:val="00747C95"/>
    <w:rsid w:val="00752254"/>
    <w:rsid w:val="00753261"/>
    <w:rsid w:val="00753E98"/>
    <w:rsid w:val="00754750"/>
    <w:rsid w:val="007550D7"/>
    <w:rsid w:val="007558A8"/>
    <w:rsid w:val="00756743"/>
    <w:rsid w:val="007574E2"/>
    <w:rsid w:val="0075765E"/>
    <w:rsid w:val="00760515"/>
    <w:rsid w:val="0076093C"/>
    <w:rsid w:val="007612F8"/>
    <w:rsid w:val="0076156A"/>
    <w:rsid w:val="00761B6E"/>
    <w:rsid w:val="00762296"/>
    <w:rsid w:val="00763978"/>
    <w:rsid w:val="00763B4E"/>
    <w:rsid w:val="00763BBF"/>
    <w:rsid w:val="007643C8"/>
    <w:rsid w:val="00764BA6"/>
    <w:rsid w:val="00764FA0"/>
    <w:rsid w:val="00765886"/>
    <w:rsid w:val="007664BE"/>
    <w:rsid w:val="007665AD"/>
    <w:rsid w:val="0076733E"/>
    <w:rsid w:val="00767762"/>
    <w:rsid w:val="0077031E"/>
    <w:rsid w:val="0077225E"/>
    <w:rsid w:val="0077346F"/>
    <w:rsid w:val="00773FCB"/>
    <w:rsid w:val="007742FE"/>
    <w:rsid w:val="0077463D"/>
    <w:rsid w:val="00774F65"/>
    <w:rsid w:val="00775749"/>
    <w:rsid w:val="00775BB1"/>
    <w:rsid w:val="0077631C"/>
    <w:rsid w:val="00776713"/>
    <w:rsid w:val="007770F3"/>
    <w:rsid w:val="007772E7"/>
    <w:rsid w:val="00780156"/>
    <w:rsid w:val="00780C64"/>
    <w:rsid w:val="00780EA6"/>
    <w:rsid w:val="00781C3E"/>
    <w:rsid w:val="00782F98"/>
    <w:rsid w:val="00783F04"/>
    <w:rsid w:val="0078408A"/>
    <w:rsid w:val="00785676"/>
    <w:rsid w:val="00785F39"/>
    <w:rsid w:val="00787760"/>
    <w:rsid w:val="007901C3"/>
    <w:rsid w:val="00790C39"/>
    <w:rsid w:val="00792CA4"/>
    <w:rsid w:val="00793392"/>
    <w:rsid w:val="00793B0E"/>
    <w:rsid w:val="00793BDB"/>
    <w:rsid w:val="007942B0"/>
    <w:rsid w:val="0079452E"/>
    <w:rsid w:val="007945D5"/>
    <w:rsid w:val="00794B54"/>
    <w:rsid w:val="00795209"/>
    <w:rsid w:val="00795B20"/>
    <w:rsid w:val="007965AD"/>
    <w:rsid w:val="00796AC4"/>
    <w:rsid w:val="00796E22"/>
    <w:rsid w:val="007A01E1"/>
    <w:rsid w:val="007A026A"/>
    <w:rsid w:val="007A1A3D"/>
    <w:rsid w:val="007A26F1"/>
    <w:rsid w:val="007A2A43"/>
    <w:rsid w:val="007A2BD0"/>
    <w:rsid w:val="007A383B"/>
    <w:rsid w:val="007A41D5"/>
    <w:rsid w:val="007A42FC"/>
    <w:rsid w:val="007A6FDF"/>
    <w:rsid w:val="007A73F7"/>
    <w:rsid w:val="007A779A"/>
    <w:rsid w:val="007A7D46"/>
    <w:rsid w:val="007B0201"/>
    <w:rsid w:val="007B0533"/>
    <w:rsid w:val="007B07D8"/>
    <w:rsid w:val="007B0821"/>
    <w:rsid w:val="007B0AB5"/>
    <w:rsid w:val="007B2207"/>
    <w:rsid w:val="007B240D"/>
    <w:rsid w:val="007B250D"/>
    <w:rsid w:val="007B2A61"/>
    <w:rsid w:val="007B2DA6"/>
    <w:rsid w:val="007B45E8"/>
    <w:rsid w:val="007B481A"/>
    <w:rsid w:val="007B4C13"/>
    <w:rsid w:val="007B4FB1"/>
    <w:rsid w:val="007B5C25"/>
    <w:rsid w:val="007B5C8E"/>
    <w:rsid w:val="007B5EFC"/>
    <w:rsid w:val="007B6FA5"/>
    <w:rsid w:val="007B74AB"/>
    <w:rsid w:val="007B75C2"/>
    <w:rsid w:val="007C096A"/>
    <w:rsid w:val="007C0F8B"/>
    <w:rsid w:val="007C190A"/>
    <w:rsid w:val="007C1926"/>
    <w:rsid w:val="007C218C"/>
    <w:rsid w:val="007C2221"/>
    <w:rsid w:val="007C2EAC"/>
    <w:rsid w:val="007C3CA6"/>
    <w:rsid w:val="007C3CCA"/>
    <w:rsid w:val="007C40DF"/>
    <w:rsid w:val="007C456D"/>
    <w:rsid w:val="007C4E8C"/>
    <w:rsid w:val="007C58DD"/>
    <w:rsid w:val="007C5A36"/>
    <w:rsid w:val="007C6C8E"/>
    <w:rsid w:val="007C72E0"/>
    <w:rsid w:val="007C7796"/>
    <w:rsid w:val="007D119B"/>
    <w:rsid w:val="007D241D"/>
    <w:rsid w:val="007D2B5A"/>
    <w:rsid w:val="007D363F"/>
    <w:rsid w:val="007D38F1"/>
    <w:rsid w:val="007D3924"/>
    <w:rsid w:val="007D3C39"/>
    <w:rsid w:val="007D420D"/>
    <w:rsid w:val="007D54D3"/>
    <w:rsid w:val="007D5608"/>
    <w:rsid w:val="007D6F37"/>
    <w:rsid w:val="007D704C"/>
    <w:rsid w:val="007E0198"/>
    <w:rsid w:val="007E08C2"/>
    <w:rsid w:val="007E0C80"/>
    <w:rsid w:val="007E12F0"/>
    <w:rsid w:val="007E1937"/>
    <w:rsid w:val="007E3DDD"/>
    <w:rsid w:val="007E4C01"/>
    <w:rsid w:val="007E4EBA"/>
    <w:rsid w:val="007E52CD"/>
    <w:rsid w:val="007E5430"/>
    <w:rsid w:val="007E6A1D"/>
    <w:rsid w:val="007E795F"/>
    <w:rsid w:val="007E7E64"/>
    <w:rsid w:val="007E7EF2"/>
    <w:rsid w:val="007F052A"/>
    <w:rsid w:val="007F0C2E"/>
    <w:rsid w:val="007F3D88"/>
    <w:rsid w:val="007F411E"/>
    <w:rsid w:val="007F41D3"/>
    <w:rsid w:val="007F442B"/>
    <w:rsid w:val="007F4B72"/>
    <w:rsid w:val="007F4E1A"/>
    <w:rsid w:val="007F51CB"/>
    <w:rsid w:val="007F5DB9"/>
    <w:rsid w:val="007F61A4"/>
    <w:rsid w:val="007F6239"/>
    <w:rsid w:val="007F6637"/>
    <w:rsid w:val="007F760A"/>
    <w:rsid w:val="007F798B"/>
    <w:rsid w:val="007F7F52"/>
    <w:rsid w:val="008008C7"/>
    <w:rsid w:val="0080178B"/>
    <w:rsid w:val="008021EF"/>
    <w:rsid w:val="00802491"/>
    <w:rsid w:val="00802A1D"/>
    <w:rsid w:val="00802F43"/>
    <w:rsid w:val="008030D2"/>
    <w:rsid w:val="0080344B"/>
    <w:rsid w:val="008036E7"/>
    <w:rsid w:val="00804751"/>
    <w:rsid w:val="0080478A"/>
    <w:rsid w:val="008049C4"/>
    <w:rsid w:val="008054F0"/>
    <w:rsid w:val="008055DF"/>
    <w:rsid w:val="00805830"/>
    <w:rsid w:val="0080595A"/>
    <w:rsid w:val="00805FCA"/>
    <w:rsid w:val="008064F2"/>
    <w:rsid w:val="008073D1"/>
    <w:rsid w:val="00807503"/>
    <w:rsid w:val="00807CC8"/>
    <w:rsid w:val="0081003F"/>
    <w:rsid w:val="0081042E"/>
    <w:rsid w:val="00810A6A"/>
    <w:rsid w:val="00810A97"/>
    <w:rsid w:val="00811349"/>
    <w:rsid w:val="008119F8"/>
    <w:rsid w:val="008122B3"/>
    <w:rsid w:val="00812706"/>
    <w:rsid w:val="008151A1"/>
    <w:rsid w:val="008154FB"/>
    <w:rsid w:val="00815C96"/>
    <w:rsid w:val="00815EFD"/>
    <w:rsid w:val="008162D7"/>
    <w:rsid w:val="0081632E"/>
    <w:rsid w:val="00816821"/>
    <w:rsid w:val="00816E12"/>
    <w:rsid w:val="00817875"/>
    <w:rsid w:val="00820587"/>
    <w:rsid w:val="00820B4B"/>
    <w:rsid w:val="00820EC2"/>
    <w:rsid w:val="0082129E"/>
    <w:rsid w:val="00821927"/>
    <w:rsid w:val="00823138"/>
    <w:rsid w:val="00824F4E"/>
    <w:rsid w:val="00825CE9"/>
    <w:rsid w:val="0082623A"/>
    <w:rsid w:val="008265C7"/>
    <w:rsid w:val="008268B9"/>
    <w:rsid w:val="008268FB"/>
    <w:rsid w:val="00826CCB"/>
    <w:rsid w:val="00826FE4"/>
    <w:rsid w:val="008306AB"/>
    <w:rsid w:val="00830CC1"/>
    <w:rsid w:val="00830CCD"/>
    <w:rsid w:val="0083122A"/>
    <w:rsid w:val="0083193C"/>
    <w:rsid w:val="00831A7F"/>
    <w:rsid w:val="00831B1F"/>
    <w:rsid w:val="00831C77"/>
    <w:rsid w:val="008323C9"/>
    <w:rsid w:val="00832EBC"/>
    <w:rsid w:val="00833F27"/>
    <w:rsid w:val="00835468"/>
    <w:rsid w:val="00835762"/>
    <w:rsid w:val="00835825"/>
    <w:rsid w:val="00835E0C"/>
    <w:rsid w:val="00836C98"/>
    <w:rsid w:val="00836DE3"/>
    <w:rsid w:val="0084032D"/>
    <w:rsid w:val="008406DC"/>
    <w:rsid w:val="00841392"/>
    <w:rsid w:val="00841655"/>
    <w:rsid w:val="00841AA2"/>
    <w:rsid w:val="008420E5"/>
    <w:rsid w:val="008423BD"/>
    <w:rsid w:val="0084263A"/>
    <w:rsid w:val="008431E9"/>
    <w:rsid w:val="008432AD"/>
    <w:rsid w:val="008442D2"/>
    <w:rsid w:val="00844563"/>
    <w:rsid w:val="00844FAA"/>
    <w:rsid w:val="00845C24"/>
    <w:rsid w:val="008461E7"/>
    <w:rsid w:val="0085073E"/>
    <w:rsid w:val="00851308"/>
    <w:rsid w:val="00851342"/>
    <w:rsid w:val="00851740"/>
    <w:rsid w:val="00851F61"/>
    <w:rsid w:val="0085362B"/>
    <w:rsid w:val="008541D4"/>
    <w:rsid w:val="00855B19"/>
    <w:rsid w:val="00855E19"/>
    <w:rsid w:val="00855EF9"/>
    <w:rsid w:val="00856119"/>
    <w:rsid w:val="008562E2"/>
    <w:rsid w:val="00856786"/>
    <w:rsid w:val="0085694B"/>
    <w:rsid w:val="00856D0A"/>
    <w:rsid w:val="00857456"/>
    <w:rsid w:val="0085768E"/>
    <w:rsid w:val="00857A67"/>
    <w:rsid w:val="00860682"/>
    <w:rsid w:val="00860E20"/>
    <w:rsid w:val="00861C76"/>
    <w:rsid w:val="00862824"/>
    <w:rsid w:val="008635ED"/>
    <w:rsid w:val="008636D3"/>
    <w:rsid w:val="00863BE4"/>
    <w:rsid w:val="00863C5D"/>
    <w:rsid w:val="00863E08"/>
    <w:rsid w:val="00864028"/>
    <w:rsid w:val="0086434B"/>
    <w:rsid w:val="008646C9"/>
    <w:rsid w:val="0086540D"/>
    <w:rsid w:val="00865B8A"/>
    <w:rsid w:val="00865BBD"/>
    <w:rsid w:val="008664E9"/>
    <w:rsid w:val="00866760"/>
    <w:rsid w:val="008667EC"/>
    <w:rsid w:val="008678ED"/>
    <w:rsid w:val="00867B8D"/>
    <w:rsid w:val="00867EAB"/>
    <w:rsid w:val="00867FBB"/>
    <w:rsid w:val="008704B2"/>
    <w:rsid w:val="00870508"/>
    <w:rsid w:val="00870FEE"/>
    <w:rsid w:val="00871392"/>
    <w:rsid w:val="00872A39"/>
    <w:rsid w:val="00872F06"/>
    <w:rsid w:val="0087315F"/>
    <w:rsid w:val="008731DA"/>
    <w:rsid w:val="00873799"/>
    <w:rsid w:val="00873D41"/>
    <w:rsid w:val="008743B7"/>
    <w:rsid w:val="00874BEC"/>
    <w:rsid w:val="0087556F"/>
    <w:rsid w:val="00875673"/>
    <w:rsid w:val="008763CB"/>
    <w:rsid w:val="00877BD2"/>
    <w:rsid w:val="00880692"/>
    <w:rsid w:val="0088105A"/>
    <w:rsid w:val="00881DF1"/>
    <w:rsid w:val="00881EBA"/>
    <w:rsid w:val="00882506"/>
    <w:rsid w:val="0088262A"/>
    <w:rsid w:val="00882EF7"/>
    <w:rsid w:val="008833A2"/>
    <w:rsid w:val="00883525"/>
    <w:rsid w:val="008837EF"/>
    <w:rsid w:val="008840EF"/>
    <w:rsid w:val="008848EC"/>
    <w:rsid w:val="00884B7C"/>
    <w:rsid w:val="00885405"/>
    <w:rsid w:val="00885F99"/>
    <w:rsid w:val="00886C9A"/>
    <w:rsid w:val="00886DDA"/>
    <w:rsid w:val="00887F24"/>
    <w:rsid w:val="00890620"/>
    <w:rsid w:val="00890BAD"/>
    <w:rsid w:val="0089118A"/>
    <w:rsid w:val="00891DA8"/>
    <w:rsid w:val="00891E77"/>
    <w:rsid w:val="00892525"/>
    <w:rsid w:val="008926AA"/>
    <w:rsid w:val="0089281A"/>
    <w:rsid w:val="008930A3"/>
    <w:rsid w:val="0089326F"/>
    <w:rsid w:val="00894074"/>
    <w:rsid w:val="00894087"/>
    <w:rsid w:val="008952B2"/>
    <w:rsid w:val="00895937"/>
    <w:rsid w:val="00895A7F"/>
    <w:rsid w:val="00895F40"/>
    <w:rsid w:val="0089724F"/>
    <w:rsid w:val="008A02D9"/>
    <w:rsid w:val="008A050D"/>
    <w:rsid w:val="008A0C24"/>
    <w:rsid w:val="008A0E01"/>
    <w:rsid w:val="008A3110"/>
    <w:rsid w:val="008A3289"/>
    <w:rsid w:val="008A3771"/>
    <w:rsid w:val="008A436F"/>
    <w:rsid w:val="008A54DE"/>
    <w:rsid w:val="008A66C7"/>
    <w:rsid w:val="008A7894"/>
    <w:rsid w:val="008A7F37"/>
    <w:rsid w:val="008B04B6"/>
    <w:rsid w:val="008B06FC"/>
    <w:rsid w:val="008B0BC8"/>
    <w:rsid w:val="008B0CEE"/>
    <w:rsid w:val="008B262E"/>
    <w:rsid w:val="008B2F35"/>
    <w:rsid w:val="008B429F"/>
    <w:rsid w:val="008B48BD"/>
    <w:rsid w:val="008B4BCD"/>
    <w:rsid w:val="008B533C"/>
    <w:rsid w:val="008B57C4"/>
    <w:rsid w:val="008B757A"/>
    <w:rsid w:val="008B77B1"/>
    <w:rsid w:val="008C026F"/>
    <w:rsid w:val="008C02FF"/>
    <w:rsid w:val="008C09CB"/>
    <w:rsid w:val="008C326F"/>
    <w:rsid w:val="008C3CD5"/>
    <w:rsid w:val="008C433E"/>
    <w:rsid w:val="008C5004"/>
    <w:rsid w:val="008C5887"/>
    <w:rsid w:val="008C6B65"/>
    <w:rsid w:val="008C71F4"/>
    <w:rsid w:val="008C798A"/>
    <w:rsid w:val="008C7E46"/>
    <w:rsid w:val="008C7F22"/>
    <w:rsid w:val="008C7F74"/>
    <w:rsid w:val="008D192E"/>
    <w:rsid w:val="008D22C2"/>
    <w:rsid w:val="008D2780"/>
    <w:rsid w:val="008D2A7D"/>
    <w:rsid w:val="008D2F56"/>
    <w:rsid w:val="008D341C"/>
    <w:rsid w:val="008D410F"/>
    <w:rsid w:val="008D4344"/>
    <w:rsid w:val="008D4623"/>
    <w:rsid w:val="008D5038"/>
    <w:rsid w:val="008D526B"/>
    <w:rsid w:val="008E1C42"/>
    <w:rsid w:val="008E2043"/>
    <w:rsid w:val="008E2C85"/>
    <w:rsid w:val="008E3074"/>
    <w:rsid w:val="008E30D4"/>
    <w:rsid w:val="008E3B18"/>
    <w:rsid w:val="008E3DB8"/>
    <w:rsid w:val="008E4200"/>
    <w:rsid w:val="008E47A8"/>
    <w:rsid w:val="008E4A21"/>
    <w:rsid w:val="008E5F2B"/>
    <w:rsid w:val="008E6E1A"/>
    <w:rsid w:val="008E74E6"/>
    <w:rsid w:val="008F0529"/>
    <w:rsid w:val="008F162E"/>
    <w:rsid w:val="008F1896"/>
    <w:rsid w:val="008F3E0C"/>
    <w:rsid w:val="008F3E4C"/>
    <w:rsid w:val="008F3F87"/>
    <w:rsid w:val="008F49D5"/>
    <w:rsid w:val="008F4BA6"/>
    <w:rsid w:val="008F5C34"/>
    <w:rsid w:val="008F6CB7"/>
    <w:rsid w:val="008F70C9"/>
    <w:rsid w:val="008F7DC3"/>
    <w:rsid w:val="00900887"/>
    <w:rsid w:val="00900C59"/>
    <w:rsid w:val="00900DBB"/>
    <w:rsid w:val="00901917"/>
    <w:rsid w:val="00902050"/>
    <w:rsid w:val="009020AB"/>
    <w:rsid w:val="0090289E"/>
    <w:rsid w:val="00905535"/>
    <w:rsid w:val="00905C76"/>
    <w:rsid w:val="00905CFB"/>
    <w:rsid w:val="009067C6"/>
    <w:rsid w:val="009069B4"/>
    <w:rsid w:val="00906D5A"/>
    <w:rsid w:val="00906F69"/>
    <w:rsid w:val="00907024"/>
    <w:rsid w:val="009076B7"/>
    <w:rsid w:val="00907CDB"/>
    <w:rsid w:val="00907F31"/>
    <w:rsid w:val="00907F7A"/>
    <w:rsid w:val="00910AD0"/>
    <w:rsid w:val="00910AE2"/>
    <w:rsid w:val="009126DF"/>
    <w:rsid w:val="0091363A"/>
    <w:rsid w:val="00914812"/>
    <w:rsid w:val="00914CFF"/>
    <w:rsid w:val="00915E57"/>
    <w:rsid w:val="0091644E"/>
    <w:rsid w:val="00916E17"/>
    <w:rsid w:val="009209BB"/>
    <w:rsid w:val="009211F9"/>
    <w:rsid w:val="009219C5"/>
    <w:rsid w:val="00921CF0"/>
    <w:rsid w:val="00922B23"/>
    <w:rsid w:val="00922E6C"/>
    <w:rsid w:val="00922F72"/>
    <w:rsid w:val="00923B0F"/>
    <w:rsid w:val="009261E0"/>
    <w:rsid w:val="009261FD"/>
    <w:rsid w:val="009275A9"/>
    <w:rsid w:val="00927E3C"/>
    <w:rsid w:val="00930196"/>
    <w:rsid w:val="00930C05"/>
    <w:rsid w:val="00931141"/>
    <w:rsid w:val="00931BD2"/>
    <w:rsid w:val="00931C86"/>
    <w:rsid w:val="00931E40"/>
    <w:rsid w:val="00931E74"/>
    <w:rsid w:val="009323F8"/>
    <w:rsid w:val="0093241C"/>
    <w:rsid w:val="00932E8F"/>
    <w:rsid w:val="0093359B"/>
    <w:rsid w:val="009344B1"/>
    <w:rsid w:val="009345F8"/>
    <w:rsid w:val="00934AF7"/>
    <w:rsid w:val="00934DE6"/>
    <w:rsid w:val="00935192"/>
    <w:rsid w:val="00936428"/>
    <w:rsid w:val="0093651B"/>
    <w:rsid w:val="009377DB"/>
    <w:rsid w:val="00937D97"/>
    <w:rsid w:val="00940731"/>
    <w:rsid w:val="00940F3E"/>
    <w:rsid w:val="009416B7"/>
    <w:rsid w:val="00941900"/>
    <w:rsid w:val="00943F52"/>
    <w:rsid w:val="00945CD6"/>
    <w:rsid w:val="00946696"/>
    <w:rsid w:val="0094682C"/>
    <w:rsid w:val="00946857"/>
    <w:rsid w:val="009503BF"/>
    <w:rsid w:val="0095110A"/>
    <w:rsid w:val="0095149D"/>
    <w:rsid w:val="0095265A"/>
    <w:rsid w:val="0095325A"/>
    <w:rsid w:val="0095329C"/>
    <w:rsid w:val="009550E3"/>
    <w:rsid w:val="00955A23"/>
    <w:rsid w:val="00955C51"/>
    <w:rsid w:val="00955F69"/>
    <w:rsid w:val="00960AA0"/>
    <w:rsid w:val="009610A9"/>
    <w:rsid w:val="0096139E"/>
    <w:rsid w:val="00961A26"/>
    <w:rsid w:val="00961E01"/>
    <w:rsid w:val="00962212"/>
    <w:rsid w:val="0096313F"/>
    <w:rsid w:val="00963D90"/>
    <w:rsid w:val="00964BF8"/>
    <w:rsid w:val="009658AF"/>
    <w:rsid w:val="00967307"/>
    <w:rsid w:val="00967DE7"/>
    <w:rsid w:val="00971F1E"/>
    <w:rsid w:val="009741CD"/>
    <w:rsid w:val="00974AE0"/>
    <w:rsid w:val="00974CCC"/>
    <w:rsid w:val="00976AC7"/>
    <w:rsid w:val="009802C1"/>
    <w:rsid w:val="009811C0"/>
    <w:rsid w:val="009813F9"/>
    <w:rsid w:val="0098221F"/>
    <w:rsid w:val="009822BF"/>
    <w:rsid w:val="00982F5E"/>
    <w:rsid w:val="009835D9"/>
    <w:rsid w:val="00983998"/>
    <w:rsid w:val="00983B8F"/>
    <w:rsid w:val="009843CB"/>
    <w:rsid w:val="00984C5C"/>
    <w:rsid w:val="009852B1"/>
    <w:rsid w:val="0098678E"/>
    <w:rsid w:val="00986CE0"/>
    <w:rsid w:val="0098714C"/>
    <w:rsid w:val="00987873"/>
    <w:rsid w:val="00987A24"/>
    <w:rsid w:val="00990231"/>
    <w:rsid w:val="00990821"/>
    <w:rsid w:val="00990867"/>
    <w:rsid w:val="00990CA1"/>
    <w:rsid w:val="00990EE4"/>
    <w:rsid w:val="00992A3E"/>
    <w:rsid w:val="0099392A"/>
    <w:rsid w:val="00993CC4"/>
    <w:rsid w:val="00994621"/>
    <w:rsid w:val="009957D1"/>
    <w:rsid w:val="00995EA8"/>
    <w:rsid w:val="009963C8"/>
    <w:rsid w:val="009965FC"/>
    <w:rsid w:val="00997A86"/>
    <w:rsid w:val="00997A87"/>
    <w:rsid w:val="00997D1A"/>
    <w:rsid w:val="009A0491"/>
    <w:rsid w:val="009A0CAC"/>
    <w:rsid w:val="009A1F60"/>
    <w:rsid w:val="009A2626"/>
    <w:rsid w:val="009A27CE"/>
    <w:rsid w:val="009A2E78"/>
    <w:rsid w:val="009A33D0"/>
    <w:rsid w:val="009A33DA"/>
    <w:rsid w:val="009A383D"/>
    <w:rsid w:val="009A4598"/>
    <w:rsid w:val="009A4A15"/>
    <w:rsid w:val="009A4FA8"/>
    <w:rsid w:val="009A6150"/>
    <w:rsid w:val="009A6697"/>
    <w:rsid w:val="009A714D"/>
    <w:rsid w:val="009A7440"/>
    <w:rsid w:val="009B0ECE"/>
    <w:rsid w:val="009B0FDF"/>
    <w:rsid w:val="009B1DAA"/>
    <w:rsid w:val="009B2985"/>
    <w:rsid w:val="009B342C"/>
    <w:rsid w:val="009B39B8"/>
    <w:rsid w:val="009B6394"/>
    <w:rsid w:val="009B6D58"/>
    <w:rsid w:val="009B7560"/>
    <w:rsid w:val="009B790C"/>
    <w:rsid w:val="009B79C2"/>
    <w:rsid w:val="009B7D5A"/>
    <w:rsid w:val="009C0CD4"/>
    <w:rsid w:val="009C14D7"/>
    <w:rsid w:val="009C1CAD"/>
    <w:rsid w:val="009C1EA9"/>
    <w:rsid w:val="009C20A3"/>
    <w:rsid w:val="009C2F6C"/>
    <w:rsid w:val="009C37FC"/>
    <w:rsid w:val="009C3910"/>
    <w:rsid w:val="009C3B82"/>
    <w:rsid w:val="009C4A18"/>
    <w:rsid w:val="009C563C"/>
    <w:rsid w:val="009C56D7"/>
    <w:rsid w:val="009C59EF"/>
    <w:rsid w:val="009C6D34"/>
    <w:rsid w:val="009C7EFB"/>
    <w:rsid w:val="009D1727"/>
    <w:rsid w:val="009D2708"/>
    <w:rsid w:val="009D29E4"/>
    <w:rsid w:val="009D2AA0"/>
    <w:rsid w:val="009D4893"/>
    <w:rsid w:val="009D4F89"/>
    <w:rsid w:val="009D541C"/>
    <w:rsid w:val="009D556A"/>
    <w:rsid w:val="009D560D"/>
    <w:rsid w:val="009D587C"/>
    <w:rsid w:val="009D6004"/>
    <w:rsid w:val="009D6107"/>
    <w:rsid w:val="009D7F32"/>
    <w:rsid w:val="009E0140"/>
    <w:rsid w:val="009E061B"/>
    <w:rsid w:val="009E07D1"/>
    <w:rsid w:val="009E1298"/>
    <w:rsid w:val="009E1967"/>
    <w:rsid w:val="009E19A4"/>
    <w:rsid w:val="009E1B8F"/>
    <w:rsid w:val="009E2E8E"/>
    <w:rsid w:val="009E3843"/>
    <w:rsid w:val="009E3B9C"/>
    <w:rsid w:val="009E4918"/>
    <w:rsid w:val="009E4CD5"/>
    <w:rsid w:val="009E5663"/>
    <w:rsid w:val="009E7C23"/>
    <w:rsid w:val="009F0A65"/>
    <w:rsid w:val="009F0AA2"/>
    <w:rsid w:val="009F0EE3"/>
    <w:rsid w:val="009F1999"/>
    <w:rsid w:val="009F1B59"/>
    <w:rsid w:val="009F22D5"/>
    <w:rsid w:val="009F3760"/>
    <w:rsid w:val="009F4AA4"/>
    <w:rsid w:val="009F5025"/>
    <w:rsid w:val="009F5035"/>
    <w:rsid w:val="009F56B1"/>
    <w:rsid w:val="009F6279"/>
    <w:rsid w:val="009F6F9F"/>
    <w:rsid w:val="009F7F9A"/>
    <w:rsid w:val="00A00DF5"/>
    <w:rsid w:val="00A015D7"/>
    <w:rsid w:val="00A018B3"/>
    <w:rsid w:val="00A01E36"/>
    <w:rsid w:val="00A021BB"/>
    <w:rsid w:val="00A02867"/>
    <w:rsid w:val="00A02912"/>
    <w:rsid w:val="00A030E1"/>
    <w:rsid w:val="00A033E7"/>
    <w:rsid w:val="00A044A7"/>
    <w:rsid w:val="00A0491A"/>
    <w:rsid w:val="00A04DAE"/>
    <w:rsid w:val="00A0634C"/>
    <w:rsid w:val="00A06F0C"/>
    <w:rsid w:val="00A0716B"/>
    <w:rsid w:val="00A072D0"/>
    <w:rsid w:val="00A07513"/>
    <w:rsid w:val="00A07620"/>
    <w:rsid w:val="00A07924"/>
    <w:rsid w:val="00A07DBD"/>
    <w:rsid w:val="00A1186E"/>
    <w:rsid w:val="00A11C61"/>
    <w:rsid w:val="00A1280F"/>
    <w:rsid w:val="00A12DFB"/>
    <w:rsid w:val="00A13B3C"/>
    <w:rsid w:val="00A14347"/>
    <w:rsid w:val="00A14C0B"/>
    <w:rsid w:val="00A15B49"/>
    <w:rsid w:val="00A16DAC"/>
    <w:rsid w:val="00A1721B"/>
    <w:rsid w:val="00A17C45"/>
    <w:rsid w:val="00A17F4F"/>
    <w:rsid w:val="00A2010E"/>
    <w:rsid w:val="00A20144"/>
    <w:rsid w:val="00A206B7"/>
    <w:rsid w:val="00A2079D"/>
    <w:rsid w:val="00A20EC7"/>
    <w:rsid w:val="00A210F4"/>
    <w:rsid w:val="00A2195A"/>
    <w:rsid w:val="00A219D6"/>
    <w:rsid w:val="00A2311B"/>
    <w:rsid w:val="00A23142"/>
    <w:rsid w:val="00A23661"/>
    <w:rsid w:val="00A237AC"/>
    <w:rsid w:val="00A23A06"/>
    <w:rsid w:val="00A23FEA"/>
    <w:rsid w:val="00A24822"/>
    <w:rsid w:val="00A25AB4"/>
    <w:rsid w:val="00A26956"/>
    <w:rsid w:val="00A26CCD"/>
    <w:rsid w:val="00A26D2B"/>
    <w:rsid w:val="00A2785A"/>
    <w:rsid w:val="00A30F5B"/>
    <w:rsid w:val="00A31655"/>
    <w:rsid w:val="00A31ADC"/>
    <w:rsid w:val="00A32059"/>
    <w:rsid w:val="00A328A9"/>
    <w:rsid w:val="00A335CD"/>
    <w:rsid w:val="00A33A9C"/>
    <w:rsid w:val="00A34F4D"/>
    <w:rsid w:val="00A35000"/>
    <w:rsid w:val="00A36109"/>
    <w:rsid w:val="00A365DC"/>
    <w:rsid w:val="00A4082F"/>
    <w:rsid w:val="00A40964"/>
    <w:rsid w:val="00A40A20"/>
    <w:rsid w:val="00A40E4D"/>
    <w:rsid w:val="00A41A23"/>
    <w:rsid w:val="00A41C5E"/>
    <w:rsid w:val="00A423DB"/>
    <w:rsid w:val="00A42852"/>
    <w:rsid w:val="00A42C5C"/>
    <w:rsid w:val="00A42EAB"/>
    <w:rsid w:val="00A43533"/>
    <w:rsid w:val="00A435CC"/>
    <w:rsid w:val="00A436A3"/>
    <w:rsid w:val="00A438D2"/>
    <w:rsid w:val="00A44158"/>
    <w:rsid w:val="00A447B5"/>
    <w:rsid w:val="00A44A8A"/>
    <w:rsid w:val="00A45DCA"/>
    <w:rsid w:val="00A46D86"/>
    <w:rsid w:val="00A47485"/>
    <w:rsid w:val="00A47B7C"/>
    <w:rsid w:val="00A50310"/>
    <w:rsid w:val="00A50AAA"/>
    <w:rsid w:val="00A50BCD"/>
    <w:rsid w:val="00A50F38"/>
    <w:rsid w:val="00A51BC8"/>
    <w:rsid w:val="00A51D47"/>
    <w:rsid w:val="00A52D69"/>
    <w:rsid w:val="00A5388E"/>
    <w:rsid w:val="00A539AB"/>
    <w:rsid w:val="00A53CEC"/>
    <w:rsid w:val="00A53FBC"/>
    <w:rsid w:val="00A543B2"/>
    <w:rsid w:val="00A54560"/>
    <w:rsid w:val="00A549A8"/>
    <w:rsid w:val="00A54E07"/>
    <w:rsid w:val="00A55C70"/>
    <w:rsid w:val="00A55D3D"/>
    <w:rsid w:val="00A55E69"/>
    <w:rsid w:val="00A56208"/>
    <w:rsid w:val="00A56864"/>
    <w:rsid w:val="00A56F16"/>
    <w:rsid w:val="00A57C00"/>
    <w:rsid w:val="00A57CCE"/>
    <w:rsid w:val="00A57FC8"/>
    <w:rsid w:val="00A60216"/>
    <w:rsid w:val="00A60A9F"/>
    <w:rsid w:val="00A63640"/>
    <w:rsid w:val="00A63A83"/>
    <w:rsid w:val="00A63A90"/>
    <w:rsid w:val="00A64923"/>
    <w:rsid w:val="00A657AB"/>
    <w:rsid w:val="00A65865"/>
    <w:rsid w:val="00A6591E"/>
    <w:rsid w:val="00A666E4"/>
    <w:rsid w:val="00A66909"/>
    <w:rsid w:val="00A6740D"/>
    <w:rsid w:val="00A674F2"/>
    <w:rsid w:val="00A6753C"/>
    <w:rsid w:val="00A67744"/>
    <w:rsid w:val="00A67877"/>
    <w:rsid w:val="00A703C5"/>
    <w:rsid w:val="00A7092D"/>
    <w:rsid w:val="00A709C0"/>
    <w:rsid w:val="00A709DA"/>
    <w:rsid w:val="00A70AD8"/>
    <w:rsid w:val="00A70C11"/>
    <w:rsid w:val="00A71404"/>
    <w:rsid w:val="00A714A4"/>
    <w:rsid w:val="00A71A41"/>
    <w:rsid w:val="00A71CAB"/>
    <w:rsid w:val="00A71CE2"/>
    <w:rsid w:val="00A71FF6"/>
    <w:rsid w:val="00A7223D"/>
    <w:rsid w:val="00A727AC"/>
    <w:rsid w:val="00A7378C"/>
    <w:rsid w:val="00A73D4E"/>
    <w:rsid w:val="00A73EB9"/>
    <w:rsid w:val="00A747ED"/>
    <w:rsid w:val="00A74B99"/>
    <w:rsid w:val="00A74C82"/>
    <w:rsid w:val="00A7533F"/>
    <w:rsid w:val="00A757F3"/>
    <w:rsid w:val="00A758B3"/>
    <w:rsid w:val="00A758E5"/>
    <w:rsid w:val="00A75E9E"/>
    <w:rsid w:val="00A7697D"/>
    <w:rsid w:val="00A773C0"/>
    <w:rsid w:val="00A77E05"/>
    <w:rsid w:val="00A77E2F"/>
    <w:rsid w:val="00A8012E"/>
    <w:rsid w:val="00A80FAF"/>
    <w:rsid w:val="00A81A38"/>
    <w:rsid w:val="00A83622"/>
    <w:rsid w:val="00A83FCA"/>
    <w:rsid w:val="00A8459B"/>
    <w:rsid w:val="00A845C2"/>
    <w:rsid w:val="00A84D6E"/>
    <w:rsid w:val="00A8521C"/>
    <w:rsid w:val="00A85AFA"/>
    <w:rsid w:val="00A85FBD"/>
    <w:rsid w:val="00A86088"/>
    <w:rsid w:val="00A86683"/>
    <w:rsid w:val="00A87FFB"/>
    <w:rsid w:val="00A90ED7"/>
    <w:rsid w:val="00A913A4"/>
    <w:rsid w:val="00A91CD3"/>
    <w:rsid w:val="00A91DB9"/>
    <w:rsid w:val="00A92644"/>
    <w:rsid w:val="00A93C5D"/>
    <w:rsid w:val="00A9572F"/>
    <w:rsid w:val="00A97730"/>
    <w:rsid w:val="00AA1511"/>
    <w:rsid w:val="00AA16A9"/>
    <w:rsid w:val="00AA1C48"/>
    <w:rsid w:val="00AA203D"/>
    <w:rsid w:val="00AA29B0"/>
    <w:rsid w:val="00AA3981"/>
    <w:rsid w:val="00AA42A5"/>
    <w:rsid w:val="00AA5212"/>
    <w:rsid w:val="00AA559C"/>
    <w:rsid w:val="00AA6110"/>
    <w:rsid w:val="00AA6382"/>
    <w:rsid w:val="00AA6AC9"/>
    <w:rsid w:val="00AA71DE"/>
    <w:rsid w:val="00AA7BE0"/>
    <w:rsid w:val="00AB0371"/>
    <w:rsid w:val="00AB1892"/>
    <w:rsid w:val="00AB1ACE"/>
    <w:rsid w:val="00AB215D"/>
    <w:rsid w:val="00AB2191"/>
    <w:rsid w:val="00AB2B84"/>
    <w:rsid w:val="00AB2C26"/>
    <w:rsid w:val="00AB4DFC"/>
    <w:rsid w:val="00AB557D"/>
    <w:rsid w:val="00AB6801"/>
    <w:rsid w:val="00AB6B66"/>
    <w:rsid w:val="00AB7B12"/>
    <w:rsid w:val="00AC0970"/>
    <w:rsid w:val="00AC2444"/>
    <w:rsid w:val="00AC282C"/>
    <w:rsid w:val="00AC29A5"/>
    <w:rsid w:val="00AC4EE1"/>
    <w:rsid w:val="00AC5014"/>
    <w:rsid w:val="00AC529E"/>
    <w:rsid w:val="00AC556B"/>
    <w:rsid w:val="00AC55D2"/>
    <w:rsid w:val="00AC5F45"/>
    <w:rsid w:val="00AC64E6"/>
    <w:rsid w:val="00AC661E"/>
    <w:rsid w:val="00AC6694"/>
    <w:rsid w:val="00AC6DD4"/>
    <w:rsid w:val="00AC7368"/>
    <w:rsid w:val="00AD0B3E"/>
    <w:rsid w:val="00AD2389"/>
    <w:rsid w:val="00AD24BC"/>
    <w:rsid w:val="00AD272F"/>
    <w:rsid w:val="00AD40E6"/>
    <w:rsid w:val="00AD6603"/>
    <w:rsid w:val="00AD6B94"/>
    <w:rsid w:val="00AD6D1E"/>
    <w:rsid w:val="00AE00C3"/>
    <w:rsid w:val="00AE0688"/>
    <w:rsid w:val="00AE139C"/>
    <w:rsid w:val="00AE1432"/>
    <w:rsid w:val="00AE1D4A"/>
    <w:rsid w:val="00AE1DF7"/>
    <w:rsid w:val="00AE1E9D"/>
    <w:rsid w:val="00AE2217"/>
    <w:rsid w:val="00AE287C"/>
    <w:rsid w:val="00AE2B99"/>
    <w:rsid w:val="00AE2F06"/>
    <w:rsid w:val="00AE3062"/>
    <w:rsid w:val="00AE326A"/>
    <w:rsid w:val="00AE4D8B"/>
    <w:rsid w:val="00AE6421"/>
    <w:rsid w:val="00AE7648"/>
    <w:rsid w:val="00AE7D9F"/>
    <w:rsid w:val="00AF2CAA"/>
    <w:rsid w:val="00AF339C"/>
    <w:rsid w:val="00AF3B6B"/>
    <w:rsid w:val="00AF3F2C"/>
    <w:rsid w:val="00AF4437"/>
    <w:rsid w:val="00AF4623"/>
    <w:rsid w:val="00AF48B4"/>
    <w:rsid w:val="00AF49A3"/>
    <w:rsid w:val="00AF5065"/>
    <w:rsid w:val="00AF55E5"/>
    <w:rsid w:val="00AF5A24"/>
    <w:rsid w:val="00AF5AB7"/>
    <w:rsid w:val="00AF66AA"/>
    <w:rsid w:val="00AF6ED9"/>
    <w:rsid w:val="00AF7CA1"/>
    <w:rsid w:val="00AF7CAF"/>
    <w:rsid w:val="00B0130D"/>
    <w:rsid w:val="00B022DF"/>
    <w:rsid w:val="00B02555"/>
    <w:rsid w:val="00B059AA"/>
    <w:rsid w:val="00B05B93"/>
    <w:rsid w:val="00B06033"/>
    <w:rsid w:val="00B06274"/>
    <w:rsid w:val="00B06557"/>
    <w:rsid w:val="00B107D0"/>
    <w:rsid w:val="00B10801"/>
    <w:rsid w:val="00B1096B"/>
    <w:rsid w:val="00B1117B"/>
    <w:rsid w:val="00B1124A"/>
    <w:rsid w:val="00B1184F"/>
    <w:rsid w:val="00B1195C"/>
    <w:rsid w:val="00B11998"/>
    <w:rsid w:val="00B1199C"/>
    <w:rsid w:val="00B1261B"/>
    <w:rsid w:val="00B145B0"/>
    <w:rsid w:val="00B15649"/>
    <w:rsid w:val="00B15CC0"/>
    <w:rsid w:val="00B163DE"/>
    <w:rsid w:val="00B16A68"/>
    <w:rsid w:val="00B17695"/>
    <w:rsid w:val="00B17CCC"/>
    <w:rsid w:val="00B17E12"/>
    <w:rsid w:val="00B2017A"/>
    <w:rsid w:val="00B2044D"/>
    <w:rsid w:val="00B20A77"/>
    <w:rsid w:val="00B20FA8"/>
    <w:rsid w:val="00B21625"/>
    <w:rsid w:val="00B219EC"/>
    <w:rsid w:val="00B21B6F"/>
    <w:rsid w:val="00B21CF4"/>
    <w:rsid w:val="00B21E1D"/>
    <w:rsid w:val="00B22148"/>
    <w:rsid w:val="00B236F8"/>
    <w:rsid w:val="00B24172"/>
    <w:rsid w:val="00B24293"/>
    <w:rsid w:val="00B24426"/>
    <w:rsid w:val="00B25FB0"/>
    <w:rsid w:val="00B2668D"/>
    <w:rsid w:val="00B30112"/>
    <w:rsid w:val="00B3072C"/>
    <w:rsid w:val="00B30A64"/>
    <w:rsid w:val="00B31364"/>
    <w:rsid w:val="00B3330D"/>
    <w:rsid w:val="00B33ED5"/>
    <w:rsid w:val="00B34BEF"/>
    <w:rsid w:val="00B373AA"/>
    <w:rsid w:val="00B377F7"/>
    <w:rsid w:val="00B37DF7"/>
    <w:rsid w:val="00B37E58"/>
    <w:rsid w:val="00B404DF"/>
    <w:rsid w:val="00B407A2"/>
    <w:rsid w:val="00B40F5C"/>
    <w:rsid w:val="00B41255"/>
    <w:rsid w:val="00B433A7"/>
    <w:rsid w:val="00B43F14"/>
    <w:rsid w:val="00B44688"/>
    <w:rsid w:val="00B44D6E"/>
    <w:rsid w:val="00B47E01"/>
    <w:rsid w:val="00B50253"/>
    <w:rsid w:val="00B5064B"/>
    <w:rsid w:val="00B50F68"/>
    <w:rsid w:val="00B5106A"/>
    <w:rsid w:val="00B51830"/>
    <w:rsid w:val="00B51A99"/>
    <w:rsid w:val="00B53BCE"/>
    <w:rsid w:val="00B556AD"/>
    <w:rsid w:val="00B56A21"/>
    <w:rsid w:val="00B577A5"/>
    <w:rsid w:val="00B57A25"/>
    <w:rsid w:val="00B60321"/>
    <w:rsid w:val="00B60C0E"/>
    <w:rsid w:val="00B60F14"/>
    <w:rsid w:val="00B62087"/>
    <w:rsid w:val="00B622E1"/>
    <w:rsid w:val="00B62B10"/>
    <w:rsid w:val="00B62B7B"/>
    <w:rsid w:val="00B63A4B"/>
    <w:rsid w:val="00B63FD5"/>
    <w:rsid w:val="00B65621"/>
    <w:rsid w:val="00B65F46"/>
    <w:rsid w:val="00B66337"/>
    <w:rsid w:val="00B6711F"/>
    <w:rsid w:val="00B675CA"/>
    <w:rsid w:val="00B67BBB"/>
    <w:rsid w:val="00B702CD"/>
    <w:rsid w:val="00B706E3"/>
    <w:rsid w:val="00B7090C"/>
    <w:rsid w:val="00B71D8C"/>
    <w:rsid w:val="00B72698"/>
    <w:rsid w:val="00B72701"/>
    <w:rsid w:val="00B73390"/>
    <w:rsid w:val="00B734D9"/>
    <w:rsid w:val="00B73804"/>
    <w:rsid w:val="00B742A0"/>
    <w:rsid w:val="00B74E30"/>
    <w:rsid w:val="00B7589E"/>
    <w:rsid w:val="00B76A74"/>
    <w:rsid w:val="00B76AC4"/>
    <w:rsid w:val="00B804E9"/>
    <w:rsid w:val="00B80582"/>
    <w:rsid w:val="00B81AD1"/>
    <w:rsid w:val="00B81B37"/>
    <w:rsid w:val="00B82E7C"/>
    <w:rsid w:val="00B83052"/>
    <w:rsid w:val="00B83750"/>
    <w:rsid w:val="00B83C92"/>
    <w:rsid w:val="00B840A4"/>
    <w:rsid w:val="00B843A1"/>
    <w:rsid w:val="00B85053"/>
    <w:rsid w:val="00B8505B"/>
    <w:rsid w:val="00B85B6D"/>
    <w:rsid w:val="00B862D8"/>
    <w:rsid w:val="00B864F4"/>
    <w:rsid w:val="00B86894"/>
    <w:rsid w:val="00B86FBE"/>
    <w:rsid w:val="00B9098A"/>
    <w:rsid w:val="00B90DFD"/>
    <w:rsid w:val="00B91C15"/>
    <w:rsid w:val="00B91C54"/>
    <w:rsid w:val="00B91D6B"/>
    <w:rsid w:val="00B94B98"/>
    <w:rsid w:val="00B956A1"/>
    <w:rsid w:val="00B96667"/>
    <w:rsid w:val="00B9700E"/>
    <w:rsid w:val="00B971B6"/>
    <w:rsid w:val="00BA1206"/>
    <w:rsid w:val="00BA13F5"/>
    <w:rsid w:val="00BA24E0"/>
    <w:rsid w:val="00BA30FA"/>
    <w:rsid w:val="00BA3E1E"/>
    <w:rsid w:val="00BA4412"/>
    <w:rsid w:val="00BA4DB8"/>
    <w:rsid w:val="00BA50A4"/>
    <w:rsid w:val="00BA58E2"/>
    <w:rsid w:val="00BA7016"/>
    <w:rsid w:val="00BA7138"/>
    <w:rsid w:val="00BA793C"/>
    <w:rsid w:val="00BB06A6"/>
    <w:rsid w:val="00BB12F8"/>
    <w:rsid w:val="00BB1ED1"/>
    <w:rsid w:val="00BB22B6"/>
    <w:rsid w:val="00BB30D0"/>
    <w:rsid w:val="00BB3DFA"/>
    <w:rsid w:val="00BB5C21"/>
    <w:rsid w:val="00BB5DA4"/>
    <w:rsid w:val="00BB5DE1"/>
    <w:rsid w:val="00BB611C"/>
    <w:rsid w:val="00BB749A"/>
    <w:rsid w:val="00BB774F"/>
    <w:rsid w:val="00BB77F0"/>
    <w:rsid w:val="00BB79C5"/>
    <w:rsid w:val="00BB7A9A"/>
    <w:rsid w:val="00BB7EE1"/>
    <w:rsid w:val="00BC040B"/>
    <w:rsid w:val="00BC2107"/>
    <w:rsid w:val="00BC2951"/>
    <w:rsid w:val="00BC2DC9"/>
    <w:rsid w:val="00BC3094"/>
    <w:rsid w:val="00BC3E80"/>
    <w:rsid w:val="00BC4793"/>
    <w:rsid w:val="00BC4A3A"/>
    <w:rsid w:val="00BC5415"/>
    <w:rsid w:val="00BC6109"/>
    <w:rsid w:val="00BC7528"/>
    <w:rsid w:val="00BC7C93"/>
    <w:rsid w:val="00BD0416"/>
    <w:rsid w:val="00BD0DFF"/>
    <w:rsid w:val="00BD1B3F"/>
    <w:rsid w:val="00BD334C"/>
    <w:rsid w:val="00BD4453"/>
    <w:rsid w:val="00BD44C3"/>
    <w:rsid w:val="00BD45CB"/>
    <w:rsid w:val="00BD494F"/>
    <w:rsid w:val="00BD4DB5"/>
    <w:rsid w:val="00BD4FEF"/>
    <w:rsid w:val="00BD5398"/>
    <w:rsid w:val="00BD57A7"/>
    <w:rsid w:val="00BD59A9"/>
    <w:rsid w:val="00BD6A34"/>
    <w:rsid w:val="00BD7454"/>
    <w:rsid w:val="00BD7890"/>
    <w:rsid w:val="00BD79AA"/>
    <w:rsid w:val="00BD7C26"/>
    <w:rsid w:val="00BD7E86"/>
    <w:rsid w:val="00BE0140"/>
    <w:rsid w:val="00BE02BE"/>
    <w:rsid w:val="00BE0649"/>
    <w:rsid w:val="00BE071C"/>
    <w:rsid w:val="00BE0CA2"/>
    <w:rsid w:val="00BE0FEB"/>
    <w:rsid w:val="00BE26A4"/>
    <w:rsid w:val="00BE3410"/>
    <w:rsid w:val="00BE5666"/>
    <w:rsid w:val="00BE5698"/>
    <w:rsid w:val="00BE68D1"/>
    <w:rsid w:val="00BE6FBE"/>
    <w:rsid w:val="00BE7003"/>
    <w:rsid w:val="00BE7263"/>
    <w:rsid w:val="00BE73E9"/>
    <w:rsid w:val="00BE7678"/>
    <w:rsid w:val="00BE781A"/>
    <w:rsid w:val="00BF048D"/>
    <w:rsid w:val="00BF1673"/>
    <w:rsid w:val="00BF1F5B"/>
    <w:rsid w:val="00BF3E8E"/>
    <w:rsid w:val="00BF3F1E"/>
    <w:rsid w:val="00BF4C2E"/>
    <w:rsid w:val="00BF4E0A"/>
    <w:rsid w:val="00BF5043"/>
    <w:rsid w:val="00BF5077"/>
    <w:rsid w:val="00BF5454"/>
    <w:rsid w:val="00BF54B5"/>
    <w:rsid w:val="00BF5980"/>
    <w:rsid w:val="00BF72A6"/>
    <w:rsid w:val="00BF7592"/>
    <w:rsid w:val="00BF7B7D"/>
    <w:rsid w:val="00BF7F7A"/>
    <w:rsid w:val="00C013EC"/>
    <w:rsid w:val="00C01AB2"/>
    <w:rsid w:val="00C01FF8"/>
    <w:rsid w:val="00C030FF"/>
    <w:rsid w:val="00C051A8"/>
    <w:rsid w:val="00C06480"/>
    <w:rsid w:val="00C066B4"/>
    <w:rsid w:val="00C07316"/>
    <w:rsid w:val="00C079DF"/>
    <w:rsid w:val="00C07E44"/>
    <w:rsid w:val="00C105D3"/>
    <w:rsid w:val="00C10CBD"/>
    <w:rsid w:val="00C11B75"/>
    <w:rsid w:val="00C13947"/>
    <w:rsid w:val="00C154F1"/>
    <w:rsid w:val="00C15F8D"/>
    <w:rsid w:val="00C16502"/>
    <w:rsid w:val="00C170E6"/>
    <w:rsid w:val="00C17474"/>
    <w:rsid w:val="00C17D40"/>
    <w:rsid w:val="00C20052"/>
    <w:rsid w:val="00C2196E"/>
    <w:rsid w:val="00C21CA7"/>
    <w:rsid w:val="00C22161"/>
    <w:rsid w:val="00C23675"/>
    <w:rsid w:val="00C26439"/>
    <w:rsid w:val="00C300BC"/>
    <w:rsid w:val="00C30673"/>
    <w:rsid w:val="00C31A6B"/>
    <w:rsid w:val="00C323C8"/>
    <w:rsid w:val="00C33D7D"/>
    <w:rsid w:val="00C352AF"/>
    <w:rsid w:val="00C35DF1"/>
    <w:rsid w:val="00C373CA"/>
    <w:rsid w:val="00C37908"/>
    <w:rsid w:val="00C408EB"/>
    <w:rsid w:val="00C413D1"/>
    <w:rsid w:val="00C416FD"/>
    <w:rsid w:val="00C42597"/>
    <w:rsid w:val="00C42C2C"/>
    <w:rsid w:val="00C42C5D"/>
    <w:rsid w:val="00C446D8"/>
    <w:rsid w:val="00C44AE0"/>
    <w:rsid w:val="00C455D0"/>
    <w:rsid w:val="00C45856"/>
    <w:rsid w:val="00C45D23"/>
    <w:rsid w:val="00C45DD7"/>
    <w:rsid w:val="00C45EBE"/>
    <w:rsid w:val="00C46512"/>
    <w:rsid w:val="00C47C68"/>
    <w:rsid w:val="00C50189"/>
    <w:rsid w:val="00C5030A"/>
    <w:rsid w:val="00C50F0A"/>
    <w:rsid w:val="00C52B27"/>
    <w:rsid w:val="00C53389"/>
    <w:rsid w:val="00C551DE"/>
    <w:rsid w:val="00C577F2"/>
    <w:rsid w:val="00C61517"/>
    <w:rsid w:val="00C619DB"/>
    <w:rsid w:val="00C61C65"/>
    <w:rsid w:val="00C6711F"/>
    <w:rsid w:val="00C67177"/>
    <w:rsid w:val="00C67F10"/>
    <w:rsid w:val="00C712B8"/>
    <w:rsid w:val="00C720B0"/>
    <w:rsid w:val="00C72395"/>
    <w:rsid w:val="00C72B16"/>
    <w:rsid w:val="00C734D1"/>
    <w:rsid w:val="00C7353B"/>
    <w:rsid w:val="00C7452C"/>
    <w:rsid w:val="00C7580A"/>
    <w:rsid w:val="00C75BF7"/>
    <w:rsid w:val="00C76196"/>
    <w:rsid w:val="00C765DF"/>
    <w:rsid w:val="00C76D22"/>
    <w:rsid w:val="00C77CC4"/>
    <w:rsid w:val="00C80B32"/>
    <w:rsid w:val="00C8275E"/>
    <w:rsid w:val="00C837FC"/>
    <w:rsid w:val="00C8407C"/>
    <w:rsid w:val="00C85925"/>
    <w:rsid w:val="00C859DE"/>
    <w:rsid w:val="00C86E9B"/>
    <w:rsid w:val="00C87B2F"/>
    <w:rsid w:val="00C87D96"/>
    <w:rsid w:val="00C90BC4"/>
    <w:rsid w:val="00C9105F"/>
    <w:rsid w:val="00C915CC"/>
    <w:rsid w:val="00C9290B"/>
    <w:rsid w:val="00C933F9"/>
    <w:rsid w:val="00C936C0"/>
    <w:rsid w:val="00C93853"/>
    <w:rsid w:val="00C93FDA"/>
    <w:rsid w:val="00C94837"/>
    <w:rsid w:val="00C952BF"/>
    <w:rsid w:val="00C95DB3"/>
    <w:rsid w:val="00C967EB"/>
    <w:rsid w:val="00C96D3C"/>
    <w:rsid w:val="00C97632"/>
    <w:rsid w:val="00CA0936"/>
    <w:rsid w:val="00CA1FEE"/>
    <w:rsid w:val="00CA2655"/>
    <w:rsid w:val="00CA34C2"/>
    <w:rsid w:val="00CA4ABD"/>
    <w:rsid w:val="00CA4EB6"/>
    <w:rsid w:val="00CA60B1"/>
    <w:rsid w:val="00CA65BE"/>
    <w:rsid w:val="00CA6BB8"/>
    <w:rsid w:val="00CA759B"/>
    <w:rsid w:val="00CB040B"/>
    <w:rsid w:val="00CB2968"/>
    <w:rsid w:val="00CB2EC4"/>
    <w:rsid w:val="00CB34EE"/>
    <w:rsid w:val="00CB478D"/>
    <w:rsid w:val="00CB4C8C"/>
    <w:rsid w:val="00CB4DCD"/>
    <w:rsid w:val="00CB59C2"/>
    <w:rsid w:val="00CB6180"/>
    <w:rsid w:val="00CB6AF6"/>
    <w:rsid w:val="00CB6E92"/>
    <w:rsid w:val="00CB78D5"/>
    <w:rsid w:val="00CB7EFF"/>
    <w:rsid w:val="00CC1359"/>
    <w:rsid w:val="00CC192E"/>
    <w:rsid w:val="00CC32ED"/>
    <w:rsid w:val="00CC4CC0"/>
    <w:rsid w:val="00CC4DA5"/>
    <w:rsid w:val="00CC576B"/>
    <w:rsid w:val="00CC5E82"/>
    <w:rsid w:val="00CC60D7"/>
    <w:rsid w:val="00CC6204"/>
    <w:rsid w:val="00CC6AC0"/>
    <w:rsid w:val="00CC6BEE"/>
    <w:rsid w:val="00CC6D4E"/>
    <w:rsid w:val="00CC6DD9"/>
    <w:rsid w:val="00CC75F9"/>
    <w:rsid w:val="00CC7EFF"/>
    <w:rsid w:val="00CD04E2"/>
    <w:rsid w:val="00CD0803"/>
    <w:rsid w:val="00CD10D7"/>
    <w:rsid w:val="00CD1501"/>
    <w:rsid w:val="00CD20E0"/>
    <w:rsid w:val="00CD264B"/>
    <w:rsid w:val="00CD2B67"/>
    <w:rsid w:val="00CD3789"/>
    <w:rsid w:val="00CD3AA6"/>
    <w:rsid w:val="00CD47D8"/>
    <w:rsid w:val="00CD4B5F"/>
    <w:rsid w:val="00CD5021"/>
    <w:rsid w:val="00CD5CD2"/>
    <w:rsid w:val="00CD62D8"/>
    <w:rsid w:val="00CD6883"/>
    <w:rsid w:val="00CD6DF5"/>
    <w:rsid w:val="00CE025B"/>
    <w:rsid w:val="00CE1B2F"/>
    <w:rsid w:val="00CE2089"/>
    <w:rsid w:val="00CE2550"/>
    <w:rsid w:val="00CE29D1"/>
    <w:rsid w:val="00CE2C05"/>
    <w:rsid w:val="00CE5703"/>
    <w:rsid w:val="00CE5A72"/>
    <w:rsid w:val="00CE5C21"/>
    <w:rsid w:val="00CE5E21"/>
    <w:rsid w:val="00CE653D"/>
    <w:rsid w:val="00CE7631"/>
    <w:rsid w:val="00CE788D"/>
    <w:rsid w:val="00CE7BE5"/>
    <w:rsid w:val="00CF18C7"/>
    <w:rsid w:val="00CF1948"/>
    <w:rsid w:val="00CF19A9"/>
    <w:rsid w:val="00CF1B59"/>
    <w:rsid w:val="00CF2E73"/>
    <w:rsid w:val="00CF33DD"/>
    <w:rsid w:val="00CF39B1"/>
    <w:rsid w:val="00CF3F5C"/>
    <w:rsid w:val="00CF4B12"/>
    <w:rsid w:val="00CF515A"/>
    <w:rsid w:val="00CF51DB"/>
    <w:rsid w:val="00CF5943"/>
    <w:rsid w:val="00CF5CCB"/>
    <w:rsid w:val="00CF5E45"/>
    <w:rsid w:val="00CF5EF1"/>
    <w:rsid w:val="00CF62AB"/>
    <w:rsid w:val="00CF6D93"/>
    <w:rsid w:val="00CF6DB7"/>
    <w:rsid w:val="00CF6E75"/>
    <w:rsid w:val="00D00058"/>
    <w:rsid w:val="00D00900"/>
    <w:rsid w:val="00D00937"/>
    <w:rsid w:val="00D00B87"/>
    <w:rsid w:val="00D00F73"/>
    <w:rsid w:val="00D02BB0"/>
    <w:rsid w:val="00D03FB9"/>
    <w:rsid w:val="00D042D4"/>
    <w:rsid w:val="00D04BC0"/>
    <w:rsid w:val="00D04F58"/>
    <w:rsid w:val="00D053A4"/>
    <w:rsid w:val="00D06195"/>
    <w:rsid w:val="00D0619D"/>
    <w:rsid w:val="00D0762B"/>
    <w:rsid w:val="00D07C43"/>
    <w:rsid w:val="00D10373"/>
    <w:rsid w:val="00D10BBE"/>
    <w:rsid w:val="00D1133D"/>
    <w:rsid w:val="00D11693"/>
    <w:rsid w:val="00D11DD9"/>
    <w:rsid w:val="00D12CD2"/>
    <w:rsid w:val="00D13032"/>
    <w:rsid w:val="00D13860"/>
    <w:rsid w:val="00D14138"/>
    <w:rsid w:val="00D14B43"/>
    <w:rsid w:val="00D15285"/>
    <w:rsid w:val="00D15422"/>
    <w:rsid w:val="00D155BF"/>
    <w:rsid w:val="00D16204"/>
    <w:rsid w:val="00D169FD"/>
    <w:rsid w:val="00D16DB8"/>
    <w:rsid w:val="00D16E6F"/>
    <w:rsid w:val="00D179C4"/>
    <w:rsid w:val="00D17A61"/>
    <w:rsid w:val="00D2026B"/>
    <w:rsid w:val="00D203C1"/>
    <w:rsid w:val="00D2340D"/>
    <w:rsid w:val="00D2371C"/>
    <w:rsid w:val="00D23886"/>
    <w:rsid w:val="00D23E51"/>
    <w:rsid w:val="00D2461C"/>
    <w:rsid w:val="00D247A0"/>
    <w:rsid w:val="00D24AC4"/>
    <w:rsid w:val="00D25150"/>
    <w:rsid w:val="00D25E3A"/>
    <w:rsid w:val="00D261B7"/>
    <w:rsid w:val="00D2707E"/>
    <w:rsid w:val="00D2708B"/>
    <w:rsid w:val="00D272A3"/>
    <w:rsid w:val="00D279EB"/>
    <w:rsid w:val="00D32301"/>
    <w:rsid w:val="00D32316"/>
    <w:rsid w:val="00D3269C"/>
    <w:rsid w:val="00D344E4"/>
    <w:rsid w:val="00D346A5"/>
    <w:rsid w:val="00D34E9A"/>
    <w:rsid w:val="00D361A5"/>
    <w:rsid w:val="00D36B87"/>
    <w:rsid w:val="00D378C2"/>
    <w:rsid w:val="00D40671"/>
    <w:rsid w:val="00D40C65"/>
    <w:rsid w:val="00D41258"/>
    <w:rsid w:val="00D424E7"/>
    <w:rsid w:val="00D42B7D"/>
    <w:rsid w:val="00D43210"/>
    <w:rsid w:val="00D43E97"/>
    <w:rsid w:val="00D44E42"/>
    <w:rsid w:val="00D454FD"/>
    <w:rsid w:val="00D46587"/>
    <w:rsid w:val="00D4672B"/>
    <w:rsid w:val="00D46BF7"/>
    <w:rsid w:val="00D46CE1"/>
    <w:rsid w:val="00D46F3F"/>
    <w:rsid w:val="00D47E81"/>
    <w:rsid w:val="00D50A2C"/>
    <w:rsid w:val="00D50EC5"/>
    <w:rsid w:val="00D51008"/>
    <w:rsid w:val="00D5129D"/>
    <w:rsid w:val="00D51AF7"/>
    <w:rsid w:val="00D5204C"/>
    <w:rsid w:val="00D53287"/>
    <w:rsid w:val="00D53914"/>
    <w:rsid w:val="00D53B26"/>
    <w:rsid w:val="00D53BA5"/>
    <w:rsid w:val="00D53D7E"/>
    <w:rsid w:val="00D53E37"/>
    <w:rsid w:val="00D53E79"/>
    <w:rsid w:val="00D53EF3"/>
    <w:rsid w:val="00D5516E"/>
    <w:rsid w:val="00D564F0"/>
    <w:rsid w:val="00D60234"/>
    <w:rsid w:val="00D60BFD"/>
    <w:rsid w:val="00D615BB"/>
    <w:rsid w:val="00D619BE"/>
    <w:rsid w:val="00D62B70"/>
    <w:rsid w:val="00D62D01"/>
    <w:rsid w:val="00D62F43"/>
    <w:rsid w:val="00D630B2"/>
    <w:rsid w:val="00D63972"/>
    <w:rsid w:val="00D63AD1"/>
    <w:rsid w:val="00D64F04"/>
    <w:rsid w:val="00D656FA"/>
    <w:rsid w:val="00D66BCE"/>
    <w:rsid w:val="00D6744F"/>
    <w:rsid w:val="00D67598"/>
    <w:rsid w:val="00D676BE"/>
    <w:rsid w:val="00D67879"/>
    <w:rsid w:val="00D711DD"/>
    <w:rsid w:val="00D71A27"/>
    <w:rsid w:val="00D71B02"/>
    <w:rsid w:val="00D7205A"/>
    <w:rsid w:val="00D72064"/>
    <w:rsid w:val="00D7416E"/>
    <w:rsid w:val="00D74364"/>
    <w:rsid w:val="00D74FAA"/>
    <w:rsid w:val="00D750C9"/>
    <w:rsid w:val="00D751ED"/>
    <w:rsid w:val="00D75635"/>
    <w:rsid w:val="00D7651D"/>
    <w:rsid w:val="00D77408"/>
    <w:rsid w:val="00D77816"/>
    <w:rsid w:val="00D806DC"/>
    <w:rsid w:val="00D815BD"/>
    <w:rsid w:val="00D817BD"/>
    <w:rsid w:val="00D819B9"/>
    <w:rsid w:val="00D81D6E"/>
    <w:rsid w:val="00D81EA8"/>
    <w:rsid w:val="00D822D0"/>
    <w:rsid w:val="00D82548"/>
    <w:rsid w:val="00D83C68"/>
    <w:rsid w:val="00D83E13"/>
    <w:rsid w:val="00D842AE"/>
    <w:rsid w:val="00D84346"/>
    <w:rsid w:val="00D86DF6"/>
    <w:rsid w:val="00D87E48"/>
    <w:rsid w:val="00D87E8E"/>
    <w:rsid w:val="00D90ABD"/>
    <w:rsid w:val="00D90E04"/>
    <w:rsid w:val="00D9154E"/>
    <w:rsid w:val="00D9194A"/>
    <w:rsid w:val="00D92029"/>
    <w:rsid w:val="00D92030"/>
    <w:rsid w:val="00D92A5E"/>
    <w:rsid w:val="00D93936"/>
    <w:rsid w:val="00D94287"/>
    <w:rsid w:val="00D94F4C"/>
    <w:rsid w:val="00D9592D"/>
    <w:rsid w:val="00D95BB5"/>
    <w:rsid w:val="00D95CFA"/>
    <w:rsid w:val="00D962A4"/>
    <w:rsid w:val="00D97523"/>
    <w:rsid w:val="00DA0CF7"/>
    <w:rsid w:val="00DA19FC"/>
    <w:rsid w:val="00DA2885"/>
    <w:rsid w:val="00DA30C3"/>
    <w:rsid w:val="00DA37D7"/>
    <w:rsid w:val="00DA40D2"/>
    <w:rsid w:val="00DA41A4"/>
    <w:rsid w:val="00DA45D6"/>
    <w:rsid w:val="00DA49B9"/>
    <w:rsid w:val="00DA4CFF"/>
    <w:rsid w:val="00DA647D"/>
    <w:rsid w:val="00DA6F05"/>
    <w:rsid w:val="00DA7E0A"/>
    <w:rsid w:val="00DB0A39"/>
    <w:rsid w:val="00DB192F"/>
    <w:rsid w:val="00DB20CA"/>
    <w:rsid w:val="00DB2606"/>
    <w:rsid w:val="00DB27A1"/>
    <w:rsid w:val="00DB27B8"/>
    <w:rsid w:val="00DB2970"/>
    <w:rsid w:val="00DB306C"/>
    <w:rsid w:val="00DB374B"/>
    <w:rsid w:val="00DB3D92"/>
    <w:rsid w:val="00DB4929"/>
    <w:rsid w:val="00DB4BAE"/>
    <w:rsid w:val="00DB61A5"/>
    <w:rsid w:val="00DB6459"/>
    <w:rsid w:val="00DB658E"/>
    <w:rsid w:val="00DB71E8"/>
    <w:rsid w:val="00DB76A3"/>
    <w:rsid w:val="00DC02CE"/>
    <w:rsid w:val="00DC095D"/>
    <w:rsid w:val="00DC099F"/>
    <w:rsid w:val="00DC11B6"/>
    <w:rsid w:val="00DC124F"/>
    <w:rsid w:val="00DC15B0"/>
    <w:rsid w:val="00DC196D"/>
    <w:rsid w:val="00DC255E"/>
    <w:rsid w:val="00DC3DE1"/>
    <w:rsid w:val="00DC3E95"/>
    <w:rsid w:val="00DC459E"/>
    <w:rsid w:val="00DC5E2F"/>
    <w:rsid w:val="00DC6AD7"/>
    <w:rsid w:val="00DC6B99"/>
    <w:rsid w:val="00DC718F"/>
    <w:rsid w:val="00DC7FBA"/>
    <w:rsid w:val="00DD0E8E"/>
    <w:rsid w:val="00DD17DA"/>
    <w:rsid w:val="00DD1D20"/>
    <w:rsid w:val="00DD36CC"/>
    <w:rsid w:val="00DD37F0"/>
    <w:rsid w:val="00DD3BC1"/>
    <w:rsid w:val="00DD4459"/>
    <w:rsid w:val="00DD475D"/>
    <w:rsid w:val="00DD5B37"/>
    <w:rsid w:val="00DD5CD2"/>
    <w:rsid w:val="00DD60C6"/>
    <w:rsid w:val="00DD6FF7"/>
    <w:rsid w:val="00DD7E5D"/>
    <w:rsid w:val="00DE14CC"/>
    <w:rsid w:val="00DE2D34"/>
    <w:rsid w:val="00DE2FB1"/>
    <w:rsid w:val="00DE34C4"/>
    <w:rsid w:val="00DE35E5"/>
    <w:rsid w:val="00DE3770"/>
    <w:rsid w:val="00DE3E48"/>
    <w:rsid w:val="00DE44FB"/>
    <w:rsid w:val="00DE4F23"/>
    <w:rsid w:val="00DE501A"/>
    <w:rsid w:val="00DE5BCD"/>
    <w:rsid w:val="00DE6815"/>
    <w:rsid w:val="00DE6A5E"/>
    <w:rsid w:val="00DF066C"/>
    <w:rsid w:val="00DF157E"/>
    <w:rsid w:val="00DF197A"/>
    <w:rsid w:val="00DF2588"/>
    <w:rsid w:val="00DF2861"/>
    <w:rsid w:val="00DF2C82"/>
    <w:rsid w:val="00DF2D46"/>
    <w:rsid w:val="00DF2E1A"/>
    <w:rsid w:val="00DF34C8"/>
    <w:rsid w:val="00DF3822"/>
    <w:rsid w:val="00DF406F"/>
    <w:rsid w:val="00DF433A"/>
    <w:rsid w:val="00DF537F"/>
    <w:rsid w:val="00DF5B3F"/>
    <w:rsid w:val="00DF5C47"/>
    <w:rsid w:val="00DF5D3B"/>
    <w:rsid w:val="00DF60BB"/>
    <w:rsid w:val="00DF60CC"/>
    <w:rsid w:val="00DF6618"/>
    <w:rsid w:val="00DF6788"/>
    <w:rsid w:val="00DF6DB4"/>
    <w:rsid w:val="00DF72A2"/>
    <w:rsid w:val="00E0028B"/>
    <w:rsid w:val="00E00560"/>
    <w:rsid w:val="00E01468"/>
    <w:rsid w:val="00E01B37"/>
    <w:rsid w:val="00E02332"/>
    <w:rsid w:val="00E02D67"/>
    <w:rsid w:val="00E03463"/>
    <w:rsid w:val="00E039AA"/>
    <w:rsid w:val="00E03FB6"/>
    <w:rsid w:val="00E0400F"/>
    <w:rsid w:val="00E0470F"/>
    <w:rsid w:val="00E04F3A"/>
    <w:rsid w:val="00E05024"/>
    <w:rsid w:val="00E0519E"/>
    <w:rsid w:val="00E051AF"/>
    <w:rsid w:val="00E058ED"/>
    <w:rsid w:val="00E059C2"/>
    <w:rsid w:val="00E05C5D"/>
    <w:rsid w:val="00E06626"/>
    <w:rsid w:val="00E07C2F"/>
    <w:rsid w:val="00E10300"/>
    <w:rsid w:val="00E1116E"/>
    <w:rsid w:val="00E11920"/>
    <w:rsid w:val="00E11F5B"/>
    <w:rsid w:val="00E1332A"/>
    <w:rsid w:val="00E149B1"/>
    <w:rsid w:val="00E14FB4"/>
    <w:rsid w:val="00E15690"/>
    <w:rsid w:val="00E15F08"/>
    <w:rsid w:val="00E17C1E"/>
    <w:rsid w:val="00E17E10"/>
    <w:rsid w:val="00E17E34"/>
    <w:rsid w:val="00E21E7C"/>
    <w:rsid w:val="00E22233"/>
    <w:rsid w:val="00E223A0"/>
    <w:rsid w:val="00E22D73"/>
    <w:rsid w:val="00E23C68"/>
    <w:rsid w:val="00E23DBF"/>
    <w:rsid w:val="00E245AC"/>
    <w:rsid w:val="00E24E0B"/>
    <w:rsid w:val="00E24FA0"/>
    <w:rsid w:val="00E24FA9"/>
    <w:rsid w:val="00E2561A"/>
    <w:rsid w:val="00E26340"/>
    <w:rsid w:val="00E266BA"/>
    <w:rsid w:val="00E268BC"/>
    <w:rsid w:val="00E270C6"/>
    <w:rsid w:val="00E271C1"/>
    <w:rsid w:val="00E2732B"/>
    <w:rsid w:val="00E27A84"/>
    <w:rsid w:val="00E30594"/>
    <w:rsid w:val="00E31D89"/>
    <w:rsid w:val="00E32004"/>
    <w:rsid w:val="00E327EF"/>
    <w:rsid w:val="00E32A00"/>
    <w:rsid w:val="00E338C7"/>
    <w:rsid w:val="00E33BB2"/>
    <w:rsid w:val="00E33C58"/>
    <w:rsid w:val="00E36EA5"/>
    <w:rsid w:val="00E40056"/>
    <w:rsid w:val="00E415B4"/>
    <w:rsid w:val="00E416E1"/>
    <w:rsid w:val="00E42213"/>
    <w:rsid w:val="00E424E6"/>
    <w:rsid w:val="00E456E1"/>
    <w:rsid w:val="00E45826"/>
    <w:rsid w:val="00E45AC6"/>
    <w:rsid w:val="00E47708"/>
    <w:rsid w:val="00E47A7D"/>
    <w:rsid w:val="00E521FC"/>
    <w:rsid w:val="00E540FF"/>
    <w:rsid w:val="00E54872"/>
    <w:rsid w:val="00E551DF"/>
    <w:rsid w:val="00E559D2"/>
    <w:rsid w:val="00E55E1E"/>
    <w:rsid w:val="00E57102"/>
    <w:rsid w:val="00E579B2"/>
    <w:rsid w:val="00E60C87"/>
    <w:rsid w:val="00E60E00"/>
    <w:rsid w:val="00E60EE3"/>
    <w:rsid w:val="00E61694"/>
    <w:rsid w:val="00E6219B"/>
    <w:rsid w:val="00E63007"/>
    <w:rsid w:val="00E6329B"/>
    <w:rsid w:val="00E63946"/>
    <w:rsid w:val="00E63D29"/>
    <w:rsid w:val="00E642E1"/>
    <w:rsid w:val="00E648B8"/>
    <w:rsid w:val="00E65AF1"/>
    <w:rsid w:val="00E65EBA"/>
    <w:rsid w:val="00E65F73"/>
    <w:rsid w:val="00E66114"/>
    <w:rsid w:val="00E672DF"/>
    <w:rsid w:val="00E67656"/>
    <w:rsid w:val="00E6771F"/>
    <w:rsid w:val="00E67BA2"/>
    <w:rsid w:val="00E70229"/>
    <w:rsid w:val="00E715CC"/>
    <w:rsid w:val="00E71E09"/>
    <w:rsid w:val="00E71F9D"/>
    <w:rsid w:val="00E72439"/>
    <w:rsid w:val="00E72F11"/>
    <w:rsid w:val="00E7378D"/>
    <w:rsid w:val="00E73BC7"/>
    <w:rsid w:val="00E73DD5"/>
    <w:rsid w:val="00E73FB3"/>
    <w:rsid w:val="00E74480"/>
    <w:rsid w:val="00E74906"/>
    <w:rsid w:val="00E755AC"/>
    <w:rsid w:val="00E75610"/>
    <w:rsid w:val="00E757F3"/>
    <w:rsid w:val="00E769CF"/>
    <w:rsid w:val="00E76D15"/>
    <w:rsid w:val="00E7731E"/>
    <w:rsid w:val="00E77B89"/>
    <w:rsid w:val="00E81416"/>
    <w:rsid w:val="00E81492"/>
    <w:rsid w:val="00E82721"/>
    <w:rsid w:val="00E82F49"/>
    <w:rsid w:val="00E835FB"/>
    <w:rsid w:val="00E84B3B"/>
    <w:rsid w:val="00E86AEA"/>
    <w:rsid w:val="00E8756F"/>
    <w:rsid w:val="00E87598"/>
    <w:rsid w:val="00E90AF3"/>
    <w:rsid w:val="00E90EDF"/>
    <w:rsid w:val="00E92282"/>
    <w:rsid w:val="00E923BD"/>
    <w:rsid w:val="00E93E5C"/>
    <w:rsid w:val="00E95F32"/>
    <w:rsid w:val="00E960ED"/>
    <w:rsid w:val="00E96A20"/>
    <w:rsid w:val="00E97A09"/>
    <w:rsid w:val="00EA04DF"/>
    <w:rsid w:val="00EA1BF8"/>
    <w:rsid w:val="00EA1EED"/>
    <w:rsid w:val="00EA211B"/>
    <w:rsid w:val="00EA2F8F"/>
    <w:rsid w:val="00EA2FCD"/>
    <w:rsid w:val="00EA3694"/>
    <w:rsid w:val="00EA471D"/>
    <w:rsid w:val="00EA4B8F"/>
    <w:rsid w:val="00EA517A"/>
    <w:rsid w:val="00EA55CA"/>
    <w:rsid w:val="00EA612B"/>
    <w:rsid w:val="00EA6518"/>
    <w:rsid w:val="00EA707E"/>
    <w:rsid w:val="00EA75DA"/>
    <w:rsid w:val="00EA7BCC"/>
    <w:rsid w:val="00EB0671"/>
    <w:rsid w:val="00EB0932"/>
    <w:rsid w:val="00EB1738"/>
    <w:rsid w:val="00EB1D3B"/>
    <w:rsid w:val="00EB2B1B"/>
    <w:rsid w:val="00EB2B5D"/>
    <w:rsid w:val="00EB35C5"/>
    <w:rsid w:val="00EB381E"/>
    <w:rsid w:val="00EB3D70"/>
    <w:rsid w:val="00EB46B8"/>
    <w:rsid w:val="00EB5E9C"/>
    <w:rsid w:val="00EB606D"/>
    <w:rsid w:val="00EB7564"/>
    <w:rsid w:val="00EB75AC"/>
    <w:rsid w:val="00EC0091"/>
    <w:rsid w:val="00EC0EB5"/>
    <w:rsid w:val="00EC1159"/>
    <w:rsid w:val="00EC1E44"/>
    <w:rsid w:val="00EC27CA"/>
    <w:rsid w:val="00EC28EA"/>
    <w:rsid w:val="00EC2AB4"/>
    <w:rsid w:val="00EC4623"/>
    <w:rsid w:val="00EC5978"/>
    <w:rsid w:val="00EC5A49"/>
    <w:rsid w:val="00EC60D7"/>
    <w:rsid w:val="00EC6112"/>
    <w:rsid w:val="00EC6C69"/>
    <w:rsid w:val="00EC6D08"/>
    <w:rsid w:val="00EC7E72"/>
    <w:rsid w:val="00ED09D7"/>
    <w:rsid w:val="00ED0DDD"/>
    <w:rsid w:val="00ED1085"/>
    <w:rsid w:val="00ED1240"/>
    <w:rsid w:val="00ED1427"/>
    <w:rsid w:val="00ED1DC1"/>
    <w:rsid w:val="00ED2AD5"/>
    <w:rsid w:val="00ED368D"/>
    <w:rsid w:val="00ED39D6"/>
    <w:rsid w:val="00ED508F"/>
    <w:rsid w:val="00ED53BA"/>
    <w:rsid w:val="00ED546C"/>
    <w:rsid w:val="00ED618E"/>
    <w:rsid w:val="00ED672E"/>
    <w:rsid w:val="00ED760D"/>
    <w:rsid w:val="00EE01AA"/>
    <w:rsid w:val="00EE1916"/>
    <w:rsid w:val="00EE1C06"/>
    <w:rsid w:val="00EE227F"/>
    <w:rsid w:val="00EE3354"/>
    <w:rsid w:val="00EE498C"/>
    <w:rsid w:val="00EE4B05"/>
    <w:rsid w:val="00EE4DBB"/>
    <w:rsid w:val="00EE581F"/>
    <w:rsid w:val="00EE5957"/>
    <w:rsid w:val="00EE5B6F"/>
    <w:rsid w:val="00EE5BB1"/>
    <w:rsid w:val="00EE743E"/>
    <w:rsid w:val="00EF1481"/>
    <w:rsid w:val="00EF1D28"/>
    <w:rsid w:val="00EF21AF"/>
    <w:rsid w:val="00EF2635"/>
    <w:rsid w:val="00EF2B76"/>
    <w:rsid w:val="00EF2DCB"/>
    <w:rsid w:val="00EF2E7B"/>
    <w:rsid w:val="00EF3548"/>
    <w:rsid w:val="00EF3C20"/>
    <w:rsid w:val="00EF43AB"/>
    <w:rsid w:val="00EF451A"/>
    <w:rsid w:val="00EF4854"/>
    <w:rsid w:val="00EF4F66"/>
    <w:rsid w:val="00EF542B"/>
    <w:rsid w:val="00EF5B08"/>
    <w:rsid w:val="00EF5BF5"/>
    <w:rsid w:val="00EF77D9"/>
    <w:rsid w:val="00F00474"/>
    <w:rsid w:val="00F00BF6"/>
    <w:rsid w:val="00F0102A"/>
    <w:rsid w:val="00F0112E"/>
    <w:rsid w:val="00F020EE"/>
    <w:rsid w:val="00F0262A"/>
    <w:rsid w:val="00F02EED"/>
    <w:rsid w:val="00F03DD6"/>
    <w:rsid w:val="00F04141"/>
    <w:rsid w:val="00F04ED8"/>
    <w:rsid w:val="00F05292"/>
    <w:rsid w:val="00F05C76"/>
    <w:rsid w:val="00F05E99"/>
    <w:rsid w:val="00F05F7C"/>
    <w:rsid w:val="00F0704E"/>
    <w:rsid w:val="00F07D88"/>
    <w:rsid w:val="00F105B2"/>
    <w:rsid w:val="00F11FE8"/>
    <w:rsid w:val="00F126C8"/>
    <w:rsid w:val="00F130AE"/>
    <w:rsid w:val="00F13183"/>
    <w:rsid w:val="00F13B75"/>
    <w:rsid w:val="00F14D16"/>
    <w:rsid w:val="00F15DA1"/>
    <w:rsid w:val="00F15FD3"/>
    <w:rsid w:val="00F1675C"/>
    <w:rsid w:val="00F17452"/>
    <w:rsid w:val="00F17D97"/>
    <w:rsid w:val="00F204CD"/>
    <w:rsid w:val="00F208AC"/>
    <w:rsid w:val="00F2167D"/>
    <w:rsid w:val="00F21710"/>
    <w:rsid w:val="00F2215D"/>
    <w:rsid w:val="00F224BC"/>
    <w:rsid w:val="00F22E75"/>
    <w:rsid w:val="00F23AEF"/>
    <w:rsid w:val="00F24A34"/>
    <w:rsid w:val="00F24E2E"/>
    <w:rsid w:val="00F26C32"/>
    <w:rsid w:val="00F273DB"/>
    <w:rsid w:val="00F274A5"/>
    <w:rsid w:val="00F277F0"/>
    <w:rsid w:val="00F303FE"/>
    <w:rsid w:val="00F31B3F"/>
    <w:rsid w:val="00F330AE"/>
    <w:rsid w:val="00F33E16"/>
    <w:rsid w:val="00F3412E"/>
    <w:rsid w:val="00F34B77"/>
    <w:rsid w:val="00F36330"/>
    <w:rsid w:val="00F36F09"/>
    <w:rsid w:val="00F40A13"/>
    <w:rsid w:val="00F415FA"/>
    <w:rsid w:val="00F41617"/>
    <w:rsid w:val="00F419D7"/>
    <w:rsid w:val="00F41D1C"/>
    <w:rsid w:val="00F420E1"/>
    <w:rsid w:val="00F4214E"/>
    <w:rsid w:val="00F42333"/>
    <w:rsid w:val="00F428A6"/>
    <w:rsid w:val="00F438B5"/>
    <w:rsid w:val="00F43AA7"/>
    <w:rsid w:val="00F440FC"/>
    <w:rsid w:val="00F45602"/>
    <w:rsid w:val="00F45875"/>
    <w:rsid w:val="00F45BAD"/>
    <w:rsid w:val="00F4762C"/>
    <w:rsid w:val="00F47D15"/>
    <w:rsid w:val="00F47E90"/>
    <w:rsid w:val="00F508CC"/>
    <w:rsid w:val="00F50B09"/>
    <w:rsid w:val="00F51CC9"/>
    <w:rsid w:val="00F51D54"/>
    <w:rsid w:val="00F528A4"/>
    <w:rsid w:val="00F52B17"/>
    <w:rsid w:val="00F52BF0"/>
    <w:rsid w:val="00F54852"/>
    <w:rsid w:val="00F55576"/>
    <w:rsid w:val="00F55802"/>
    <w:rsid w:val="00F5597E"/>
    <w:rsid w:val="00F5603F"/>
    <w:rsid w:val="00F56F4B"/>
    <w:rsid w:val="00F5731F"/>
    <w:rsid w:val="00F60CD9"/>
    <w:rsid w:val="00F61AEC"/>
    <w:rsid w:val="00F63BD9"/>
    <w:rsid w:val="00F64406"/>
    <w:rsid w:val="00F649F1"/>
    <w:rsid w:val="00F65DEE"/>
    <w:rsid w:val="00F661DE"/>
    <w:rsid w:val="00F66939"/>
    <w:rsid w:val="00F6763C"/>
    <w:rsid w:val="00F67C7E"/>
    <w:rsid w:val="00F700E7"/>
    <w:rsid w:val="00F7183A"/>
    <w:rsid w:val="00F71A71"/>
    <w:rsid w:val="00F72C84"/>
    <w:rsid w:val="00F72FA0"/>
    <w:rsid w:val="00F741F6"/>
    <w:rsid w:val="00F74515"/>
    <w:rsid w:val="00F74FD7"/>
    <w:rsid w:val="00F75242"/>
    <w:rsid w:val="00F75648"/>
    <w:rsid w:val="00F75A09"/>
    <w:rsid w:val="00F76302"/>
    <w:rsid w:val="00F7633F"/>
    <w:rsid w:val="00F76DBB"/>
    <w:rsid w:val="00F7708E"/>
    <w:rsid w:val="00F77B2B"/>
    <w:rsid w:val="00F81876"/>
    <w:rsid w:val="00F831B9"/>
    <w:rsid w:val="00F831C0"/>
    <w:rsid w:val="00F832AE"/>
    <w:rsid w:val="00F8333E"/>
    <w:rsid w:val="00F8394E"/>
    <w:rsid w:val="00F84211"/>
    <w:rsid w:val="00F860BA"/>
    <w:rsid w:val="00F860ED"/>
    <w:rsid w:val="00F86ECC"/>
    <w:rsid w:val="00F8770D"/>
    <w:rsid w:val="00F902AA"/>
    <w:rsid w:val="00F90634"/>
    <w:rsid w:val="00F90B29"/>
    <w:rsid w:val="00F91345"/>
    <w:rsid w:val="00F9140A"/>
    <w:rsid w:val="00F91B2B"/>
    <w:rsid w:val="00F9355C"/>
    <w:rsid w:val="00F93B22"/>
    <w:rsid w:val="00F93E7C"/>
    <w:rsid w:val="00F9418D"/>
    <w:rsid w:val="00F941F0"/>
    <w:rsid w:val="00F946A5"/>
    <w:rsid w:val="00F94949"/>
    <w:rsid w:val="00F96880"/>
    <w:rsid w:val="00F9739E"/>
    <w:rsid w:val="00FA029D"/>
    <w:rsid w:val="00FA091D"/>
    <w:rsid w:val="00FA1019"/>
    <w:rsid w:val="00FA3DE3"/>
    <w:rsid w:val="00FA43D3"/>
    <w:rsid w:val="00FA565E"/>
    <w:rsid w:val="00FA5C89"/>
    <w:rsid w:val="00FA5F6C"/>
    <w:rsid w:val="00FA6F8A"/>
    <w:rsid w:val="00FA70B7"/>
    <w:rsid w:val="00FA7FBB"/>
    <w:rsid w:val="00FB0A3E"/>
    <w:rsid w:val="00FB16EC"/>
    <w:rsid w:val="00FB1F44"/>
    <w:rsid w:val="00FB2321"/>
    <w:rsid w:val="00FB260C"/>
    <w:rsid w:val="00FB28A1"/>
    <w:rsid w:val="00FB2E86"/>
    <w:rsid w:val="00FB3313"/>
    <w:rsid w:val="00FB3A15"/>
    <w:rsid w:val="00FB3E33"/>
    <w:rsid w:val="00FB4299"/>
    <w:rsid w:val="00FB43AC"/>
    <w:rsid w:val="00FB5300"/>
    <w:rsid w:val="00FB5E5E"/>
    <w:rsid w:val="00FB6389"/>
    <w:rsid w:val="00FB690F"/>
    <w:rsid w:val="00FB6DD5"/>
    <w:rsid w:val="00FC07BA"/>
    <w:rsid w:val="00FC0831"/>
    <w:rsid w:val="00FC097F"/>
    <w:rsid w:val="00FC1555"/>
    <w:rsid w:val="00FC2074"/>
    <w:rsid w:val="00FC28D3"/>
    <w:rsid w:val="00FC2B9C"/>
    <w:rsid w:val="00FC3579"/>
    <w:rsid w:val="00FC3B05"/>
    <w:rsid w:val="00FC4021"/>
    <w:rsid w:val="00FC414C"/>
    <w:rsid w:val="00FC4B60"/>
    <w:rsid w:val="00FC4F8F"/>
    <w:rsid w:val="00FC52CF"/>
    <w:rsid w:val="00FC6041"/>
    <w:rsid w:val="00FC6AE1"/>
    <w:rsid w:val="00FC71C0"/>
    <w:rsid w:val="00FC771E"/>
    <w:rsid w:val="00FD0A7D"/>
    <w:rsid w:val="00FD12F5"/>
    <w:rsid w:val="00FD1B03"/>
    <w:rsid w:val="00FD220B"/>
    <w:rsid w:val="00FD287C"/>
    <w:rsid w:val="00FD2C48"/>
    <w:rsid w:val="00FD2CD9"/>
    <w:rsid w:val="00FD2E87"/>
    <w:rsid w:val="00FD311A"/>
    <w:rsid w:val="00FD318E"/>
    <w:rsid w:val="00FD3E58"/>
    <w:rsid w:val="00FD4DF5"/>
    <w:rsid w:val="00FD4F9A"/>
    <w:rsid w:val="00FD5731"/>
    <w:rsid w:val="00FD57EA"/>
    <w:rsid w:val="00FD5B1C"/>
    <w:rsid w:val="00FD62FC"/>
    <w:rsid w:val="00FD6B58"/>
    <w:rsid w:val="00FD7290"/>
    <w:rsid w:val="00FD743B"/>
    <w:rsid w:val="00FD7685"/>
    <w:rsid w:val="00FD7B44"/>
    <w:rsid w:val="00FE106F"/>
    <w:rsid w:val="00FE19FC"/>
    <w:rsid w:val="00FE2189"/>
    <w:rsid w:val="00FE28C1"/>
    <w:rsid w:val="00FE3368"/>
    <w:rsid w:val="00FE3C7E"/>
    <w:rsid w:val="00FE519B"/>
    <w:rsid w:val="00FE5B81"/>
    <w:rsid w:val="00FE6248"/>
    <w:rsid w:val="00FE6DC8"/>
    <w:rsid w:val="00FE7B1B"/>
    <w:rsid w:val="00FE7E71"/>
    <w:rsid w:val="00FF07EB"/>
    <w:rsid w:val="00FF0C99"/>
    <w:rsid w:val="00FF1127"/>
    <w:rsid w:val="00FF18EF"/>
    <w:rsid w:val="00FF1DA9"/>
    <w:rsid w:val="00FF2BA4"/>
    <w:rsid w:val="00FF396E"/>
    <w:rsid w:val="00FF4317"/>
    <w:rsid w:val="00FF49BE"/>
    <w:rsid w:val="00FF4ABA"/>
    <w:rsid w:val="00FF4F8D"/>
    <w:rsid w:val="00FF5502"/>
    <w:rsid w:val="00FF6A9A"/>
    <w:rsid w:val="00FF73C1"/>
    <w:rsid w:val="00FF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5:docId w15:val="{19801338-D372-4286-A876-8F90C970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3"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18"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lsdException w:name="envelope return" w:semiHidden="1" w:uiPriority="18"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1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iPriority="18"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18"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EC28EA"/>
    <w:pPr>
      <w:overflowPunct w:val="0"/>
      <w:autoSpaceDE w:val="0"/>
      <w:autoSpaceDN w:val="0"/>
      <w:adjustRightInd w:val="0"/>
      <w:textAlignment w:val="baseline"/>
    </w:pPr>
    <w:rPr>
      <w:rFonts w:ascii="Cambria" w:hAnsi="Cambria"/>
      <w:sz w:val="24"/>
      <w:szCs w:val="24"/>
    </w:rPr>
  </w:style>
  <w:style w:type="paragraph" w:styleId="Heading1">
    <w:name w:val="heading 1"/>
    <w:basedOn w:val="Normal"/>
    <w:link w:val="Heading1Char"/>
    <w:uiPriority w:val="1"/>
    <w:qFormat/>
    <w:rsid w:val="0016136F"/>
    <w:pPr>
      <w:numPr>
        <w:numId w:val="1"/>
      </w:numPr>
      <w:tabs>
        <w:tab w:val="clear" w:pos="1440"/>
      </w:tabs>
      <w:spacing w:after="240"/>
      <w:ind w:left="720" w:hanging="720"/>
      <w:outlineLvl w:val="0"/>
    </w:pPr>
    <w:rPr>
      <w:b/>
      <w:bCs/>
      <w:spacing w:val="-1"/>
      <w:sz w:val="22"/>
      <w:szCs w:val="22"/>
    </w:rPr>
  </w:style>
  <w:style w:type="paragraph" w:styleId="Heading2">
    <w:name w:val="heading 2"/>
    <w:basedOn w:val="Normal"/>
    <w:link w:val="Heading2Char"/>
    <w:uiPriority w:val="1"/>
    <w:qFormat/>
    <w:rsid w:val="00EC28EA"/>
    <w:pPr>
      <w:numPr>
        <w:ilvl w:val="1"/>
        <w:numId w:val="1"/>
      </w:numPr>
      <w:tabs>
        <w:tab w:val="clear" w:pos="2160"/>
      </w:tabs>
      <w:spacing w:after="240"/>
      <w:ind w:left="1440" w:hanging="720"/>
      <w:outlineLvl w:val="1"/>
    </w:pPr>
    <w:rPr>
      <w:b/>
    </w:rPr>
  </w:style>
  <w:style w:type="paragraph" w:styleId="Heading3">
    <w:name w:val="heading 3"/>
    <w:basedOn w:val="Normal"/>
    <w:link w:val="Heading3Char"/>
    <w:uiPriority w:val="1"/>
    <w:qFormat/>
    <w:rsid w:val="00144274"/>
    <w:pPr>
      <w:numPr>
        <w:ilvl w:val="2"/>
        <w:numId w:val="1"/>
      </w:numPr>
      <w:tabs>
        <w:tab w:val="clear" w:pos="2880"/>
      </w:tabs>
      <w:spacing w:after="240"/>
      <w:ind w:left="2160" w:hanging="720"/>
      <w:outlineLvl w:val="2"/>
    </w:pPr>
    <w:rPr>
      <w:b/>
    </w:rPr>
  </w:style>
  <w:style w:type="paragraph" w:styleId="Heading4">
    <w:name w:val="heading 4"/>
    <w:basedOn w:val="Normal"/>
    <w:next w:val="BodyText"/>
    <w:link w:val="Heading4Char"/>
    <w:uiPriority w:val="1"/>
    <w:qFormat/>
    <w:rsid w:val="00144274"/>
    <w:pPr>
      <w:numPr>
        <w:ilvl w:val="3"/>
        <w:numId w:val="1"/>
      </w:numPr>
      <w:tabs>
        <w:tab w:val="clear" w:pos="3600"/>
      </w:tabs>
      <w:spacing w:after="240"/>
      <w:outlineLvl w:val="3"/>
    </w:pPr>
  </w:style>
  <w:style w:type="paragraph" w:styleId="Heading5">
    <w:name w:val="heading 5"/>
    <w:basedOn w:val="Normal"/>
    <w:next w:val="BodyText"/>
    <w:link w:val="Heading5Char"/>
    <w:uiPriority w:val="1"/>
    <w:qFormat/>
    <w:rsid w:val="00BE071C"/>
    <w:pPr>
      <w:numPr>
        <w:ilvl w:val="4"/>
        <w:numId w:val="1"/>
      </w:numPr>
      <w:tabs>
        <w:tab w:val="clear" w:pos="4320"/>
      </w:tabs>
      <w:spacing w:after="240"/>
      <w:outlineLvl w:val="4"/>
    </w:pPr>
  </w:style>
  <w:style w:type="paragraph" w:styleId="Heading6">
    <w:name w:val="heading 6"/>
    <w:basedOn w:val="Normal"/>
    <w:next w:val="BodyText"/>
    <w:link w:val="Heading6Char"/>
    <w:uiPriority w:val="1"/>
    <w:qFormat/>
    <w:rsid w:val="00BE071C"/>
    <w:pPr>
      <w:numPr>
        <w:ilvl w:val="5"/>
        <w:numId w:val="1"/>
      </w:numPr>
      <w:tabs>
        <w:tab w:val="clear" w:pos="5040"/>
      </w:tabs>
      <w:spacing w:after="240"/>
      <w:outlineLvl w:val="5"/>
    </w:pPr>
  </w:style>
  <w:style w:type="paragraph" w:styleId="Heading7">
    <w:name w:val="heading 7"/>
    <w:aliases w:val="Simple Arabic Numbers"/>
    <w:basedOn w:val="Normal"/>
    <w:next w:val="BodyText"/>
    <w:link w:val="Heading7Char"/>
    <w:uiPriority w:val="1"/>
    <w:qFormat/>
    <w:rsid w:val="00BE071C"/>
    <w:pPr>
      <w:numPr>
        <w:ilvl w:val="6"/>
        <w:numId w:val="1"/>
      </w:numPr>
      <w:tabs>
        <w:tab w:val="clear" w:pos="5760"/>
      </w:tabs>
      <w:spacing w:after="240"/>
      <w:outlineLvl w:val="6"/>
    </w:pPr>
  </w:style>
  <w:style w:type="paragraph" w:styleId="Heading8">
    <w:name w:val="heading 8"/>
    <w:aliases w:val="Simple alpha numbers"/>
    <w:basedOn w:val="Normal"/>
    <w:next w:val="BodyText"/>
    <w:link w:val="Heading8Char"/>
    <w:uiPriority w:val="1"/>
    <w:qFormat/>
    <w:rsid w:val="00BE071C"/>
    <w:pPr>
      <w:numPr>
        <w:ilvl w:val="7"/>
        <w:numId w:val="1"/>
      </w:numPr>
      <w:tabs>
        <w:tab w:val="clear" w:pos="6480"/>
      </w:tabs>
      <w:spacing w:after="240"/>
      <w:outlineLvl w:val="7"/>
    </w:pPr>
  </w:style>
  <w:style w:type="paragraph" w:styleId="Heading9">
    <w:name w:val="heading 9"/>
    <w:aliases w:val="Simple (sm) roman numbers"/>
    <w:basedOn w:val="Normal"/>
    <w:next w:val="BodyText"/>
    <w:link w:val="Heading9Char"/>
    <w:uiPriority w:val="1"/>
    <w:qFormat/>
    <w:rsid w:val="00BE071C"/>
    <w:pPr>
      <w:numPr>
        <w:ilvl w:val="8"/>
        <w:numId w:val="1"/>
      </w:numPr>
      <w:tabs>
        <w:tab w:val="clear" w:pos="720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36F"/>
    <w:rPr>
      <w:rFonts w:ascii="Cambria" w:hAnsi="Cambria"/>
      <w:b/>
      <w:bCs/>
      <w:spacing w:val="-1"/>
      <w:sz w:val="22"/>
      <w:szCs w:val="22"/>
    </w:rPr>
  </w:style>
  <w:style w:type="character" w:customStyle="1" w:styleId="Heading2Char">
    <w:name w:val="Heading 2 Char"/>
    <w:basedOn w:val="DefaultParagraphFont"/>
    <w:link w:val="Heading2"/>
    <w:uiPriority w:val="1"/>
    <w:rsid w:val="00EC28EA"/>
    <w:rPr>
      <w:rFonts w:ascii="Cambria" w:hAnsi="Cambria"/>
      <w:b/>
      <w:sz w:val="24"/>
      <w:szCs w:val="24"/>
    </w:rPr>
  </w:style>
  <w:style w:type="paragraph" w:styleId="BodyText">
    <w:name w:val="Body Text"/>
    <w:basedOn w:val="Normal"/>
    <w:link w:val="BodyTextChar"/>
    <w:uiPriority w:val="1"/>
    <w:qFormat/>
    <w:rsid w:val="00B21625"/>
    <w:pPr>
      <w:spacing w:after="240"/>
      <w:ind w:firstLine="720"/>
      <w:jc w:val="both"/>
    </w:pPr>
    <w:rPr>
      <w:rFonts w:cstheme="minorHAnsi"/>
      <w:color w:val="000000"/>
      <w:sz w:val="22"/>
    </w:rPr>
  </w:style>
  <w:style w:type="character" w:customStyle="1" w:styleId="BodyTextChar">
    <w:name w:val="Body Text Char"/>
    <w:basedOn w:val="DefaultParagraphFont"/>
    <w:link w:val="BodyText"/>
    <w:uiPriority w:val="1"/>
    <w:rsid w:val="00B21625"/>
    <w:rPr>
      <w:rFonts w:ascii="Cambria" w:hAnsi="Cambria" w:cstheme="minorHAnsi"/>
      <w:color w:val="000000"/>
      <w:sz w:val="22"/>
      <w:szCs w:val="24"/>
    </w:rPr>
  </w:style>
  <w:style w:type="character" w:customStyle="1" w:styleId="Heading3Char">
    <w:name w:val="Heading 3 Char"/>
    <w:basedOn w:val="DefaultParagraphFont"/>
    <w:link w:val="Heading3"/>
    <w:uiPriority w:val="1"/>
    <w:rsid w:val="00144274"/>
    <w:rPr>
      <w:rFonts w:ascii="Cambria" w:hAnsi="Cambria"/>
      <w:b/>
      <w:sz w:val="24"/>
      <w:szCs w:val="24"/>
    </w:rPr>
  </w:style>
  <w:style w:type="character" w:customStyle="1" w:styleId="Heading4Char">
    <w:name w:val="Heading 4 Char"/>
    <w:basedOn w:val="DefaultParagraphFont"/>
    <w:link w:val="Heading4"/>
    <w:uiPriority w:val="1"/>
    <w:rsid w:val="00144274"/>
    <w:rPr>
      <w:rFonts w:ascii="Cambria" w:hAnsi="Cambria"/>
      <w:sz w:val="24"/>
      <w:szCs w:val="24"/>
    </w:rPr>
  </w:style>
  <w:style w:type="character" w:customStyle="1" w:styleId="Heading5Char">
    <w:name w:val="Heading 5 Char"/>
    <w:basedOn w:val="DefaultParagraphFont"/>
    <w:link w:val="Heading5"/>
    <w:uiPriority w:val="1"/>
    <w:rsid w:val="00BE071C"/>
    <w:rPr>
      <w:rFonts w:ascii="Calibri" w:hAnsi="Calibri"/>
      <w:sz w:val="24"/>
      <w:szCs w:val="24"/>
    </w:rPr>
  </w:style>
  <w:style w:type="character" w:customStyle="1" w:styleId="Heading6Char">
    <w:name w:val="Heading 6 Char"/>
    <w:basedOn w:val="DefaultParagraphFont"/>
    <w:link w:val="Heading6"/>
    <w:uiPriority w:val="1"/>
    <w:rsid w:val="00BE071C"/>
    <w:rPr>
      <w:rFonts w:ascii="Calibri" w:hAnsi="Calibri"/>
      <w:sz w:val="24"/>
      <w:szCs w:val="24"/>
    </w:rPr>
  </w:style>
  <w:style w:type="character" w:customStyle="1" w:styleId="Heading7Char">
    <w:name w:val="Heading 7 Char"/>
    <w:aliases w:val="Simple Arabic Numbers Char"/>
    <w:basedOn w:val="DefaultParagraphFont"/>
    <w:link w:val="Heading7"/>
    <w:uiPriority w:val="1"/>
    <w:rsid w:val="00BE071C"/>
    <w:rPr>
      <w:rFonts w:ascii="Calibri" w:hAnsi="Calibri"/>
      <w:sz w:val="24"/>
      <w:szCs w:val="24"/>
    </w:rPr>
  </w:style>
  <w:style w:type="character" w:customStyle="1" w:styleId="Heading8Char">
    <w:name w:val="Heading 8 Char"/>
    <w:aliases w:val="Simple alpha numbers Char"/>
    <w:basedOn w:val="DefaultParagraphFont"/>
    <w:link w:val="Heading8"/>
    <w:uiPriority w:val="1"/>
    <w:rsid w:val="00BE071C"/>
    <w:rPr>
      <w:rFonts w:ascii="Calibri" w:hAnsi="Calibri"/>
      <w:sz w:val="24"/>
      <w:szCs w:val="24"/>
    </w:rPr>
  </w:style>
  <w:style w:type="character" w:customStyle="1" w:styleId="Heading9Char">
    <w:name w:val="Heading 9 Char"/>
    <w:aliases w:val="Simple (sm) roman numbers Char"/>
    <w:basedOn w:val="DefaultParagraphFont"/>
    <w:link w:val="Heading9"/>
    <w:uiPriority w:val="1"/>
    <w:rsid w:val="00BE071C"/>
    <w:rPr>
      <w:rFonts w:ascii="Calibri" w:hAnsi="Calibri"/>
      <w:sz w:val="24"/>
      <w:szCs w:val="24"/>
    </w:rPr>
  </w:style>
  <w:style w:type="paragraph" w:styleId="Header">
    <w:name w:val="header"/>
    <w:basedOn w:val="Normal"/>
    <w:link w:val="HeaderChar"/>
    <w:uiPriority w:val="18"/>
    <w:rsid w:val="00BE071C"/>
    <w:pPr>
      <w:tabs>
        <w:tab w:val="center" w:pos="4320"/>
        <w:tab w:val="right" w:pos="8640"/>
      </w:tabs>
    </w:pPr>
  </w:style>
  <w:style w:type="character" w:customStyle="1" w:styleId="HeaderChar">
    <w:name w:val="Header Char"/>
    <w:basedOn w:val="DefaultParagraphFont"/>
    <w:link w:val="Header"/>
    <w:uiPriority w:val="18"/>
    <w:rsid w:val="00BE071C"/>
    <w:rPr>
      <w:sz w:val="24"/>
      <w:szCs w:val="24"/>
    </w:rPr>
  </w:style>
  <w:style w:type="paragraph" w:styleId="Footer">
    <w:name w:val="footer"/>
    <w:basedOn w:val="Normal"/>
    <w:link w:val="FooterChar"/>
    <w:uiPriority w:val="99"/>
    <w:rsid w:val="00BE071C"/>
    <w:pPr>
      <w:tabs>
        <w:tab w:val="center" w:pos="4320"/>
        <w:tab w:val="right" w:pos="8640"/>
      </w:tabs>
    </w:pPr>
  </w:style>
  <w:style w:type="character" w:customStyle="1" w:styleId="FooterChar">
    <w:name w:val="Footer Char"/>
    <w:basedOn w:val="DefaultParagraphFont"/>
    <w:link w:val="Footer"/>
    <w:uiPriority w:val="99"/>
    <w:rsid w:val="00BE071C"/>
    <w:rPr>
      <w:sz w:val="24"/>
      <w:szCs w:val="24"/>
    </w:rPr>
  </w:style>
  <w:style w:type="paragraph" w:styleId="EnvelopeAddress">
    <w:name w:val="envelope address"/>
    <w:basedOn w:val="Normal"/>
    <w:uiPriority w:val="18"/>
    <w:rsid w:val="00BE071C"/>
    <w:pPr>
      <w:framePr w:w="7920" w:h="1980" w:hRule="exact" w:hSpace="180" w:wrap="auto" w:hAnchor="page" w:xAlign="center" w:yAlign="bottom"/>
      <w:ind w:left="2880"/>
    </w:pPr>
    <w:rPr>
      <w:rFonts w:cs="Arial"/>
    </w:rPr>
  </w:style>
  <w:style w:type="paragraph" w:styleId="EnvelopeReturn">
    <w:name w:val="envelope return"/>
    <w:basedOn w:val="Normal"/>
    <w:uiPriority w:val="18"/>
    <w:rsid w:val="00BE071C"/>
    <w:rPr>
      <w:rFonts w:cs="Arial"/>
      <w:sz w:val="20"/>
    </w:rPr>
  </w:style>
  <w:style w:type="character" w:styleId="PageNumber">
    <w:name w:val="page number"/>
    <w:basedOn w:val="DefaultParagraphFont"/>
    <w:uiPriority w:val="18"/>
    <w:rsid w:val="00BE071C"/>
  </w:style>
  <w:style w:type="paragraph" w:styleId="Closing">
    <w:name w:val="Closing"/>
    <w:basedOn w:val="Normal"/>
    <w:link w:val="ClosingChar"/>
    <w:uiPriority w:val="18"/>
    <w:rsid w:val="00BE071C"/>
    <w:pPr>
      <w:tabs>
        <w:tab w:val="left" w:leader="underscore" w:pos="9360"/>
      </w:tabs>
      <w:ind w:left="4320"/>
    </w:pPr>
  </w:style>
  <w:style w:type="character" w:customStyle="1" w:styleId="ClosingChar">
    <w:name w:val="Closing Char"/>
    <w:basedOn w:val="DefaultParagraphFont"/>
    <w:link w:val="Closing"/>
    <w:uiPriority w:val="18"/>
    <w:rsid w:val="00BE071C"/>
    <w:rPr>
      <w:sz w:val="24"/>
      <w:szCs w:val="24"/>
    </w:rPr>
  </w:style>
  <w:style w:type="paragraph" w:styleId="NoteHeading">
    <w:name w:val="Note Heading"/>
    <w:basedOn w:val="Normal"/>
    <w:next w:val="Normal"/>
    <w:link w:val="NoteHeadingChar"/>
    <w:uiPriority w:val="18"/>
    <w:rsid w:val="0080595A"/>
  </w:style>
  <w:style w:type="character" w:customStyle="1" w:styleId="NoteHeadingChar">
    <w:name w:val="Note Heading Char"/>
    <w:basedOn w:val="DefaultParagraphFont"/>
    <w:link w:val="NoteHeading"/>
    <w:uiPriority w:val="18"/>
    <w:rsid w:val="0080595A"/>
    <w:rPr>
      <w:sz w:val="24"/>
      <w:szCs w:val="24"/>
    </w:rPr>
  </w:style>
  <w:style w:type="paragraph" w:customStyle="1" w:styleId="BodyLeft">
    <w:name w:val="Body Left"/>
    <w:basedOn w:val="Normal"/>
    <w:uiPriority w:val="18"/>
    <w:rsid w:val="00BE071C"/>
    <w:pPr>
      <w:spacing w:after="240"/>
    </w:pPr>
  </w:style>
  <w:style w:type="paragraph" w:customStyle="1" w:styleId="CenteredCaption">
    <w:name w:val="Centered Caption"/>
    <w:basedOn w:val="Normal"/>
    <w:next w:val="BodyText"/>
    <w:uiPriority w:val="1"/>
    <w:qFormat/>
    <w:rsid w:val="00144274"/>
    <w:pPr>
      <w:keepNext/>
      <w:spacing w:after="240"/>
      <w:jc w:val="center"/>
    </w:pPr>
    <w:rPr>
      <w:b/>
      <w:sz w:val="28"/>
    </w:rPr>
  </w:style>
  <w:style w:type="character" w:customStyle="1" w:styleId="Citation">
    <w:name w:val="Citation"/>
    <w:basedOn w:val="DefaultParagraphFont"/>
    <w:uiPriority w:val="18"/>
    <w:rsid w:val="00BE071C"/>
    <w:rPr>
      <w:i/>
    </w:rPr>
  </w:style>
  <w:style w:type="paragraph" w:customStyle="1" w:styleId="Comment">
    <w:name w:val="Comment"/>
    <w:basedOn w:val="Normal"/>
    <w:next w:val="Normal"/>
    <w:uiPriority w:val="18"/>
    <w:rsid w:val="00BE071C"/>
    <w:rPr>
      <w:vanish/>
      <w:color w:val="0000FF"/>
    </w:rPr>
  </w:style>
  <w:style w:type="paragraph" w:customStyle="1" w:styleId="ListAlpha">
    <w:name w:val="List Alpha"/>
    <w:basedOn w:val="Normal"/>
    <w:uiPriority w:val="18"/>
    <w:rsid w:val="00BE071C"/>
    <w:pPr>
      <w:numPr>
        <w:numId w:val="7"/>
      </w:numPr>
      <w:spacing w:after="240"/>
    </w:pPr>
  </w:style>
  <w:style w:type="paragraph" w:customStyle="1" w:styleId="ListDefin">
    <w:name w:val="List Defin"/>
    <w:basedOn w:val="Heading2"/>
    <w:uiPriority w:val="18"/>
    <w:rsid w:val="00BE071C"/>
    <w:pPr>
      <w:numPr>
        <w:ilvl w:val="0"/>
        <w:numId w:val="0"/>
      </w:numPr>
      <w:outlineLvl w:val="9"/>
    </w:pPr>
  </w:style>
  <w:style w:type="paragraph" w:customStyle="1" w:styleId="ListNum">
    <w:name w:val="ListNum"/>
    <w:basedOn w:val="ListParagraph"/>
    <w:uiPriority w:val="18"/>
    <w:rsid w:val="00BE071C"/>
    <w:pPr>
      <w:numPr>
        <w:numId w:val="8"/>
      </w:numPr>
    </w:pPr>
  </w:style>
  <w:style w:type="paragraph" w:customStyle="1" w:styleId="Quote1">
    <w:name w:val="Quote1"/>
    <w:basedOn w:val="Normal"/>
    <w:uiPriority w:val="2"/>
    <w:qFormat/>
    <w:rsid w:val="00A435CC"/>
    <w:pPr>
      <w:spacing w:after="240"/>
      <w:ind w:left="1260" w:right="1260"/>
    </w:pPr>
  </w:style>
  <w:style w:type="character" w:customStyle="1" w:styleId="TitleText1">
    <w:name w:val="TitleText1"/>
    <w:basedOn w:val="DefaultParagraphFont"/>
    <w:uiPriority w:val="18"/>
    <w:rsid w:val="00BE071C"/>
  </w:style>
  <w:style w:type="character" w:customStyle="1" w:styleId="TitleText2">
    <w:name w:val="TitleText2"/>
    <w:basedOn w:val="DefaultParagraphFont"/>
    <w:uiPriority w:val="18"/>
    <w:rsid w:val="00BE071C"/>
  </w:style>
  <w:style w:type="character" w:customStyle="1" w:styleId="TitleText3">
    <w:name w:val="TitleText3"/>
    <w:basedOn w:val="DefaultParagraphFont"/>
    <w:uiPriority w:val="18"/>
    <w:rsid w:val="00BE071C"/>
  </w:style>
  <w:style w:type="character" w:customStyle="1" w:styleId="TitleText4">
    <w:name w:val="TitleText4"/>
    <w:basedOn w:val="DefaultParagraphFont"/>
    <w:uiPriority w:val="18"/>
    <w:rsid w:val="00BE071C"/>
  </w:style>
  <w:style w:type="character" w:customStyle="1" w:styleId="TitleText5">
    <w:name w:val="TitleText5"/>
    <w:basedOn w:val="DefaultParagraphFont"/>
    <w:uiPriority w:val="18"/>
    <w:rsid w:val="00BE071C"/>
  </w:style>
  <w:style w:type="character" w:customStyle="1" w:styleId="TitleText7">
    <w:name w:val="TitleText7"/>
    <w:basedOn w:val="DefaultParagraphFont"/>
    <w:uiPriority w:val="18"/>
    <w:rsid w:val="00BE071C"/>
  </w:style>
  <w:style w:type="character" w:customStyle="1" w:styleId="TitleText8">
    <w:name w:val="TitleText8"/>
    <w:basedOn w:val="DefaultParagraphFont"/>
    <w:uiPriority w:val="18"/>
    <w:rsid w:val="00BE071C"/>
  </w:style>
  <w:style w:type="character" w:customStyle="1" w:styleId="TitleText9">
    <w:name w:val="TitleText9"/>
    <w:basedOn w:val="DefaultParagraphFont"/>
    <w:uiPriority w:val="18"/>
    <w:rsid w:val="00BE071C"/>
  </w:style>
  <w:style w:type="paragraph" w:styleId="ListBullet">
    <w:name w:val="List Bullet"/>
    <w:basedOn w:val="Normal"/>
    <w:uiPriority w:val="99"/>
    <w:semiHidden/>
    <w:unhideWhenUsed/>
    <w:qFormat/>
    <w:rsid w:val="00BE071C"/>
    <w:pPr>
      <w:numPr>
        <w:numId w:val="2"/>
      </w:numPr>
      <w:spacing w:after="240"/>
    </w:pPr>
  </w:style>
  <w:style w:type="paragraph" w:styleId="ListBullet2">
    <w:name w:val="List Bullet 2"/>
    <w:basedOn w:val="Normal"/>
    <w:uiPriority w:val="99"/>
    <w:semiHidden/>
    <w:unhideWhenUsed/>
    <w:qFormat/>
    <w:rsid w:val="00BE071C"/>
    <w:pPr>
      <w:numPr>
        <w:numId w:val="3"/>
      </w:numPr>
      <w:spacing w:after="240"/>
    </w:pPr>
  </w:style>
  <w:style w:type="paragraph" w:styleId="ListBullet3">
    <w:name w:val="List Bullet 3"/>
    <w:basedOn w:val="Normal"/>
    <w:uiPriority w:val="99"/>
    <w:semiHidden/>
    <w:unhideWhenUsed/>
    <w:qFormat/>
    <w:rsid w:val="00BE071C"/>
    <w:pPr>
      <w:numPr>
        <w:numId w:val="4"/>
      </w:numPr>
      <w:spacing w:after="240"/>
    </w:pPr>
  </w:style>
  <w:style w:type="paragraph" w:styleId="ListBullet4">
    <w:name w:val="List Bullet 4"/>
    <w:basedOn w:val="Normal"/>
    <w:uiPriority w:val="99"/>
    <w:semiHidden/>
    <w:unhideWhenUsed/>
    <w:qFormat/>
    <w:rsid w:val="00BE071C"/>
    <w:pPr>
      <w:numPr>
        <w:numId w:val="5"/>
      </w:numPr>
      <w:spacing w:after="240"/>
    </w:pPr>
  </w:style>
  <w:style w:type="paragraph" w:styleId="ListBullet5">
    <w:name w:val="List Bullet 5"/>
    <w:basedOn w:val="Normal"/>
    <w:uiPriority w:val="99"/>
    <w:semiHidden/>
    <w:unhideWhenUsed/>
    <w:qFormat/>
    <w:rsid w:val="00BE071C"/>
    <w:pPr>
      <w:numPr>
        <w:numId w:val="6"/>
      </w:numPr>
      <w:spacing w:after="240"/>
    </w:pPr>
  </w:style>
  <w:style w:type="paragraph" w:styleId="ListParagraph">
    <w:name w:val="List Paragraph"/>
    <w:basedOn w:val="Normal"/>
    <w:uiPriority w:val="1"/>
    <w:qFormat/>
    <w:rsid w:val="00BE071C"/>
    <w:pPr>
      <w:ind w:left="720"/>
      <w:contextualSpacing/>
    </w:pPr>
  </w:style>
  <w:style w:type="paragraph" w:customStyle="1" w:styleId="BoldCap">
    <w:name w:val="BoldCap"/>
    <w:basedOn w:val="Normal"/>
    <w:uiPriority w:val="18"/>
    <w:rsid w:val="00BE071C"/>
    <w:pPr>
      <w:spacing w:after="240"/>
    </w:pPr>
    <w:rPr>
      <w:rFonts w:ascii="Arial" w:hAnsi="Arial"/>
      <w:b/>
      <w:color w:val="000000"/>
    </w:rPr>
  </w:style>
  <w:style w:type="character" w:customStyle="1" w:styleId="TitleText6">
    <w:name w:val="TitleText6"/>
    <w:basedOn w:val="DefaultParagraphFont"/>
    <w:uiPriority w:val="18"/>
    <w:rsid w:val="00BE071C"/>
  </w:style>
  <w:style w:type="paragraph" w:styleId="Index1">
    <w:name w:val="index 1"/>
    <w:basedOn w:val="Normal"/>
    <w:next w:val="Normal"/>
    <w:autoRedefine/>
    <w:uiPriority w:val="99"/>
    <w:semiHidden/>
    <w:unhideWhenUsed/>
    <w:rsid w:val="00BE071C"/>
    <w:pPr>
      <w:ind w:left="240" w:hanging="240"/>
    </w:pPr>
  </w:style>
  <w:style w:type="paragraph" w:styleId="IndexHeading">
    <w:name w:val="index heading"/>
    <w:basedOn w:val="Normal"/>
    <w:next w:val="Index1"/>
    <w:uiPriority w:val="99"/>
    <w:semiHidden/>
    <w:unhideWhenUsed/>
    <w:rsid w:val="00BE071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E071C"/>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BE071C"/>
    <w:pPr>
      <w:keepNext/>
      <w:keepLines/>
      <w:numPr>
        <w:numId w:val="0"/>
      </w:numPr>
      <w:spacing w:before="480" w:after="0"/>
      <w:outlineLvl w:val="9"/>
    </w:pPr>
    <w:rPr>
      <w:rFonts w:asciiTheme="majorHAnsi" w:eastAsiaTheme="majorEastAsia" w:hAnsiTheme="majorHAnsi" w:cstheme="majorBidi"/>
      <w:b w:val="0"/>
      <w:color w:val="365F91" w:themeColor="accent1" w:themeShade="BF"/>
      <w:sz w:val="28"/>
      <w:szCs w:val="28"/>
    </w:rPr>
  </w:style>
  <w:style w:type="character" w:styleId="SubtleReference">
    <w:name w:val="Subtle Reference"/>
    <w:basedOn w:val="DefaultParagraphFont"/>
    <w:uiPriority w:val="31"/>
    <w:rsid w:val="00D36B87"/>
    <w:rPr>
      <w:smallCaps/>
      <w:color w:val="C0504D" w:themeColor="accent2"/>
      <w:u w:val="single"/>
    </w:rPr>
  </w:style>
  <w:style w:type="character" w:styleId="FootnoteReference">
    <w:name w:val="footnote reference"/>
    <w:basedOn w:val="DefaultParagraphFont"/>
    <w:uiPriority w:val="99"/>
    <w:unhideWhenUsed/>
    <w:qFormat/>
    <w:rsid w:val="00D36B87"/>
    <w:rPr>
      <w:vertAlign w:val="superscript"/>
    </w:rPr>
  </w:style>
  <w:style w:type="paragraph" w:styleId="FootnoteText">
    <w:name w:val="footnote text"/>
    <w:basedOn w:val="Normal"/>
    <w:link w:val="FootnoteTextChar"/>
    <w:uiPriority w:val="99"/>
    <w:unhideWhenUsed/>
    <w:qFormat/>
    <w:rsid w:val="00F42333"/>
    <w:pPr>
      <w:overflowPunct/>
      <w:textAlignment w:val="auto"/>
    </w:pPr>
    <w:rPr>
      <w:sz w:val="20"/>
      <w:szCs w:val="20"/>
    </w:rPr>
  </w:style>
  <w:style w:type="character" w:customStyle="1" w:styleId="FootnoteTextChar">
    <w:name w:val="Footnote Text Char"/>
    <w:basedOn w:val="DefaultParagraphFont"/>
    <w:link w:val="FootnoteText"/>
    <w:uiPriority w:val="99"/>
    <w:rsid w:val="00F42333"/>
    <w:rPr>
      <w:rFonts w:ascii="Cambria" w:hAnsi="Cambria"/>
    </w:rPr>
  </w:style>
  <w:style w:type="paragraph" w:customStyle="1" w:styleId="Default">
    <w:name w:val="Default"/>
    <w:rsid w:val="00F91B2B"/>
    <w:pPr>
      <w:autoSpaceDE w:val="0"/>
      <w:autoSpaceDN w:val="0"/>
      <w:adjustRightInd w:val="0"/>
    </w:pPr>
    <w:rPr>
      <w:color w:val="000000"/>
      <w:sz w:val="24"/>
      <w:szCs w:val="24"/>
    </w:rPr>
  </w:style>
  <w:style w:type="table" w:styleId="TableGrid">
    <w:name w:val="Table Grid"/>
    <w:basedOn w:val="TableNormal"/>
    <w:uiPriority w:val="59"/>
    <w:rsid w:val="00247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541C25"/>
    <w:pPr>
      <w:overflowPunct/>
      <w:autoSpaceDE/>
      <w:autoSpaceDN/>
      <w:adjustRightInd/>
      <w:textAlignment w:val="auto"/>
    </w:pPr>
    <w:rPr>
      <w:rFonts w:ascii="Times New Roman" w:hAnsi="Times New Roman"/>
      <w:sz w:val="20"/>
      <w:szCs w:val="20"/>
    </w:rPr>
  </w:style>
  <w:style w:type="character" w:customStyle="1" w:styleId="CommentTextChar">
    <w:name w:val="Comment Text Char"/>
    <w:basedOn w:val="DefaultParagraphFont"/>
    <w:link w:val="CommentText"/>
    <w:semiHidden/>
    <w:rsid w:val="00541C25"/>
  </w:style>
  <w:style w:type="character" w:styleId="CommentReference">
    <w:name w:val="annotation reference"/>
    <w:basedOn w:val="DefaultParagraphFont"/>
    <w:semiHidden/>
    <w:rsid w:val="00541C25"/>
    <w:rPr>
      <w:sz w:val="16"/>
      <w:szCs w:val="16"/>
    </w:rPr>
  </w:style>
  <w:style w:type="paragraph" w:styleId="BalloonText">
    <w:name w:val="Balloon Text"/>
    <w:basedOn w:val="Normal"/>
    <w:link w:val="BalloonTextChar"/>
    <w:uiPriority w:val="99"/>
    <w:semiHidden/>
    <w:unhideWhenUsed/>
    <w:rsid w:val="00541C25"/>
    <w:rPr>
      <w:rFonts w:ascii="Tahoma" w:hAnsi="Tahoma" w:cs="Tahoma"/>
      <w:sz w:val="16"/>
      <w:szCs w:val="16"/>
    </w:rPr>
  </w:style>
  <w:style w:type="character" w:customStyle="1" w:styleId="BalloonTextChar">
    <w:name w:val="Balloon Text Char"/>
    <w:basedOn w:val="DefaultParagraphFont"/>
    <w:link w:val="BalloonText"/>
    <w:uiPriority w:val="99"/>
    <w:semiHidden/>
    <w:rsid w:val="00541C25"/>
    <w:rPr>
      <w:rFonts w:ascii="Tahoma" w:hAnsi="Tahoma" w:cs="Tahoma"/>
      <w:sz w:val="16"/>
      <w:szCs w:val="16"/>
    </w:rPr>
  </w:style>
  <w:style w:type="character" w:customStyle="1" w:styleId="response-question-title-text2">
    <w:name w:val="response-question-title-text2"/>
    <w:basedOn w:val="DefaultParagraphFont"/>
    <w:rsid w:val="00905535"/>
    <w:rPr>
      <w:color w:val="333333"/>
    </w:rPr>
  </w:style>
  <w:style w:type="character" w:customStyle="1" w:styleId="response-text-label2">
    <w:name w:val="response-text-label2"/>
    <w:basedOn w:val="DefaultParagraphFont"/>
    <w:rsid w:val="00905535"/>
    <w:rPr>
      <w:b/>
      <w:bCs/>
    </w:rPr>
  </w:style>
  <w:style w:type="paragraph" w:styleId="NormalWeb">
    <w:name w:val="Normal (Web)"/>
    <w:basedOn w:val="Normal"/>
    <w:uiPriority w:val="99"/>
    <w:semiHidden/>
    <w:unhideWhenUsed/>
    <w:rsid w:val="00511AF1"/>
    <w:pPr>
      <w:overflowPunct/>
      <w:autoSpaceDE/>
      <w:autoSpaceDN/>
      <w:adjustRightInd/>
      <w:spacing w:before="100" w:beforeAutospacing="1" w:after="100" w:afterAutospacing="1"/>
      <w:ind w:firstLine="480"/>
      <w:textAlignment w:val="auto"/>
    </w:pPr>
    <w:rPr>
      <w:rFonts w:ascii="Times New Roman" w:hAnsi="Times New Roman"/>
    </w:rPr>
  </w:style>
  <w:style w:type="paragraph" w:styleId="Quote">
    <w:name w:val="Quote"/>
    <w:basedOn w:val="Normal"/>
    <w:next w:val="Normal"/>
    <w:link w:val="QuoteChar"/>
    <w:uiPriority w:val="29"/>
    <w:rsid w:val="008E3DB8"/>
    <w:rPr>
      <w:i/>
      <w:iCs/>
      <w:color w:val="000000" w:themeColor="text1"/>
    </w:rPr>
  </w:style>
  <w:style w:type="character" w:customStyle="1" w:styleId="QuoteChar">
    <w:name w:val="Quote Char"/>
    <w:basedOn w:val="DefaultParagraphFont"/>
    <w:link w:val="Quote"/>
    <w:uiPriority w:val="29"/>
    <w:rsid w:val="008E3DB8"/>
    <w:rPr>
      <w:rFonts w:ascii="Calibri" w:hAnsi="Calibri"/>
      <w:i/>
      <w:iCs/>
      <w:color w:val="000000" w:themeColor="text1"/>
      <w:sz w:val="24"/>
      <w:szCs w:val="24"/>
    </w:rPr>
  </w:style>
  <w:style w:type="character" w:styleId="Hyperlink">
    <w:name w:val="Hyperlink"/>
    <w:basedOn w:val="DefaultParagraphFont"/>
    <w:uiPriority w:val="99"/>
    <w:unhideWhenUsed/>
    <w:rsid w:val="00940731"/>
    <w:rPr>
      <w:color w:val="0000FF" w:themeColor="hyperlink"/>
      <w:u w:val="single"/>
    </w:rPr>
  </w:style>
  <w:style w:type="character" w:styleId="FollowedHyperlink">
    <w:name w:val="FollowedHyperlink"/>
    <w:basedOn w:val="DefaultParagraphFont"/>
    <w:uiPriority w:val="99"/>
    <w:semiHidden/>
    <w:unhideWhenUsed/>
    <w:rsid w:val="001D02DE"/>
    <w:rPr>
      <w:color w:val="800080" w:themeColor="followedHyperlink"/>
      <w:u w:val="single"/>
    </w:rPr>
  </w:style>
  <w:style w:type="character" w:styleId="Emphasis">
    <w:name w:val="Emphasis"/>
    <w:basedOn w:val="DefaultParagraphFont"/>
    <w:uiPriority w:val="20"/>
    <w:qFormat/>
    <w:rsid w:val="00584D6B"/>
    <w:rPr>
      <w:b/>
      <w:bCs/>
      <w:i w:val="0"/>
      <w:iCs w:val="0"/>
    </w:rPr>
  </w:style>
  <w:style w:type="character" w:customStyle="1" w:styleId="st1">
    <w:name w:val="st1"/>
    <w:basedOn w:val="DefaultParagraphFont"/>
    <w:rsid w:val="00584D6B"/>
  </w:style>
  <w:style w:type="character" w:customStyle="1" w:styleId="tgc">
    <w:name w:val="_tgc"/>
    <w:basedOn w:val="DefaultParagraphFont"/>
    <w:rsid w:val="0047125F"/>
  </w:style>
  <w:style w:type="paragraph" w:customStyle="1" w:styleId="TableParagraph">
    <w:name w:val="Table Paragraph"/>
    <w:basedOn w:val="Normal"/>
    <w:uiPriority w:val="1"/>
    <w:qFormat/>
    <w:rsid w:val="00E05024"/>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Normal1">
    <w:name w:val="Normal1"/>
    <w:basedOn w:val="DefaultParagraphFont"/>
    <w:rsid w:val="009D4893"/>
  </w:style>
  <w:style w:type="paragraph" w:customStyle="1" w:styleId="Normal2">
    <w:name w:val="Normal2"/>
    <w:rsid w:val="0052205C"/>
    <w:pPr>
      <w:widowControl w:val="0"/>
    </w:pPr>
    <w:rPr>
      <w:sz w:val="22"/>
      <w:szCs w:val="24"/>
    </w:rPr>
  </w:style>
  <w:style w:type="character" w:customStyle="1" w:styleId="Normal3">
    <w:name w:val="Normal3"/>
    <w:basedOn w:val="DefaultParagraphFont"/>
    <w:rsid w:val="0052205C"/>
  </w:style>
  <w:style w:type="character" w:styleId="UnresolvedMention">
    <w:name w:val="Unresolved Mention"/>
    <w:basedOn w:val="DefaultParagraphFont"/>
    <w:uiPriority w:val="99"/>
    <w:semiHidden/>
    <w:unhideWhenUsed/>
    <w:rsid w:val="00157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106">
      <w:bodyDiv w:val="1"/>
      <w:marLeft w:val="0"/>
      <w:marRight w:val="0"/>
      <w:marTop w:val="0"/>
      <w:marBottom w:val="0"/>
      <w:divBdr>
        <w:top w:val="none" w:sz="0" w:space="0" w:color="auto"/>
        <w:left w:val="none" w:sz="0" w:space="0" w:color="auto"/>
        <w:bottom w:val="none" w:sz="0" w:space="0" w:color="auto"/>
        <w:right w:val="none" w:sz="0" w:space="0" w:color="auto"/>
      </w:divBdr>
    </w:div>
    <w:div w:id="551693821">
      <w:bodyDiv w:val="1"/>
      <w:marLeft w:val="0"/>
      <w:marRight w:val="0"/>
      <w:marTop w:val="30"/>
      <w:marBottom w:val="750"/>
      <w:divBdr>
        <w:top w:val="none" w:sz="0" w:space="0" w:color="auto"/>
        <w:left w:val="none" w:sz="0" w:space="0" w:color="auto"/>
        <w:bottom w:val="none" w:sz="0" w:space="0" w:color="auto"/>
        <w:right w:val="none" w:sz="0" w:space="0" w:color="auto"/>
      </w:divBdr>
      <w:divsChild>
        <w:div w:id="955252789">
          <w:marLeft w:val="0"/>
          <w:marRight w:val="0"/>
          <w:marTop w:val="0"/>
          <w:marBottom w:val="0"/>
          <w:divBdr>
            <w:top w:val="none" w:sz="0" w:space="0" w:color="auto"/>
            <w:left w:val="none" w:sz="0" w:space="0" w:color="auto"/>
            <w:bottom w:val="none" w:sz="0" w:space="0" w:color="auto"/>
            <w:right w:val="none" w:sz="0" w:space="0" w:color="auto"/>
          </w:divBdr>
        </w:div>
      </w:divsChild>
    </w:div>
    <w:div w:id="829173225">
      <w:bodyDiv w:val="1"/>
      <w:marLeft w:val="0"/>
      <w:marRight w:val="0"/>
      <w:marTop w:val="0"/>
      <w:marBottom w:val="0"/>
      <w:divBdr>
        <w:top w:val="none" w:sz="0" w:space="0" w:color="auto"/>
        <w:left w:val="none" w:sz="0" w:space="0" w:color="auto"/>
        <w:bottom w:val="none" w:sz="0" w:space="0" w:color="auto"/>
        <w:right w:val="none" w:sz="0" w:space="0" w:color="auto"/>
      </w:divBdr>
      <w:divsChild>
        <w:div w:id="823467952">
          <w:marLeft w:val="0"/>
          <w:marRight w:val="0"/>
          <w:marTop w:val="0"/>
          <w:marBottom w:val="0"/>
          <w:divBdr>
            <w:top w:val="none" w:sz="0" w:space="0" w:color="auto"/>
            <w:left w:val="none" w:sz="0" w:space="0" w:color="auto"/>
            <w:bottom w:val="none" w:sz="0" w:space="0" w:color="auto"/>
            <w:right w:val="none" w:sz="0" w:space="0" w:color="auto"/>
          </w:divBdr>
          <w:divsChild>
            <w:div w:id="578684086">
              <w:marLeft w:val="0"/>
              <w:marRight w:val="0"/>
              <w:marTop w:val="0"/>
              <w:marBottom w:val="0"/>
              <w:divBdr>
                <w:top w:val="none" w:sz="0" w:space="0" w:color="auto"/>
                <w:left w:val="none" w:sz="0" w:space="0" w:color="auto"/>
                <w:bottom w:val="none" w:sz="0" w:space="0" w:color="auto"/>
                <w:right w:val="none" w:sz="0" w:space="0" w:color="auto"/>
              </w:divBdr>
              <w:divsChild>
                <w:div w:id="1709640078">
                  <w:marLeft w:val="0"/>
                  <w:marRight w:val="0"/>
                  <w:marTop w:val="0"/>
                  <w:marBottom w:val="0"/>
                  <w:divBdr>
                    <w:top w:val="none" w:sz="0" w:space="0" w:color="auto"/>
                    <w:left w:val="none" w:sz="0" w:space="0" w:color="auto"/>
                    <w:bottom w:val="none" w:sz="0" w:space="0" w:color="auto"/>
                    <w:right w:val="none" w:sz="0" w:space="0" w:color="auto"/>
                  </w:divBdr>
                  <w:divsChild>
                    <w:div w:id="1032026330">
                      <w:marLeft w:val="0"/>
                      <w:marRight w:val="0"/>
                      <w:marTop w:val="45"/>
                      <w:marBottom w:val="0"/>
                      <w:divBdr>
                        <w:top w:val="none" w:sz="0" w:space="0" w:color="auto"/>
                        <w:left w:val="none" w:sz="0" w:space="0" w:color="auto"/>
                        <w:bottom w:val="none" w:sz="0" w:space="0" w:color="auto"/>
                        <w:right w:val="none" w:sz="0" w:space="0" w:color="auto"/>
                      </w:divBdr>
                      <w:divsChild>
                        <w:div w:id="1534730297">
                          <w:marLeft w:val="0"/>
                          <w:marRight w:val="0"/>
                          <w:marTop w:val="0"/>
                          <w:marBottom w:val="0"/>
                          <w:divBdr>
                            <w:top w:val="none" w:sz="0" w:space="0" w:color="auto"/>
                            <w:left w:val="none" w:sz="0" w:space="0" w:color="auto"/>
                            <w:bottom w:val="none" w:sz="0" w:space="0" w:color="auto"/>
                            <w:right w:val="none" w:sz="0" w:space="0" w:color="auto"/>
                          </w:divBdr>
                          <w:divsChild>
                            <w:div w:id="1668513069">
                              <w:marLeft w:val="2070"/>
                              <w:marRight w:val="3960"/>
                              <w:marTop w:val="0"/>
                              <w:marBottom w:val="0"/>
                              <w:divBdr>
                                <w:top w:val="none" w:sz="0" w:space="0" w:color="auto"/>
                                <w:left w:val="none" w:sz="0" w:space="0" w:color="auto"/>
                                <w:bottom w:val="none" w:sz="0" w:space="0" w:color="auto"/>
                                <w:right w:val="none" w:sz="0" w:space="0" w:color="auto"/>
                              </w:divBdr>
                              <w:divsChild>
                                <w:div w:id="1919711496">
                                  <w:marLeft w:val="0"/>
                                  <w:marRight w:val="0"/>
                                  <w:marTop w:val="0"/>
                                  <w:marBottom w:val="0"/>
                                  <w:divBdr>
                                    <w:top w:val="none" w:sz="0" w:space="0" w:color="auto"/>
                                    <w:left w:val="none" w:sz="0" w:space="0" w:color="auto"/>
                                    <w:bottom w:val="none" w:sz="0" w:space="0" w:color="auto"/>
                                    <w:right w:val="none" w:sz="0" w:space="0" w:color="auto"/>
                                  </w:divBdr>
                                  <w:divsChild>
                                    <w:div w:id="733819413">
                                      <w:marLeft w:val="0"/>
                                      <w:marRight w:val="0"/>
                                      <w:marTop w:val="0"/>
                                      <w:marBottom w:val="0"/>
                                      <w:divBdr>
                                        <w:top w:val="none" w:sz="0" w:space="0" w:color="auto"/>
                                        <w:left w:val="none" w:sz="0" w:space="0" w:color="auto"/>
                                        <w:bottom w:val="none" w:sz="0" w:space="0" w:color="auto"/>
                                        <w:right w:val="none" w:sz="0" w:space="0" w:color="auto"/>
                                      </w:divBdr>
                                      <w:divsChild>
                                        <w:div w:id="1599295041">
                                          <w:marLeft w:val="0"/>
                                          <w:marRight w:val="0"/>
                                          <w:marTop w:val="0"/>
                                          <w:marBottom w:val="0"/>
                                          <w:divBdr>
                                            <w:top w:val="none" w:sz="0" w:space="0" w:color="auto"/>
                                            <w:left w:val="none" w:sz="0" w:space="0" w:color="auto"/>
                                            <w:bottom w:val="none" w:sz="0" w:space="0" w:color="auto"/>
                                            <w:right w:val="none" w:sz="0" w:space="0" w:color="auto"/>
                                          </w:divBdr>
                                          <w:divsChild>
                                            <w:div w:id="798499131">
                                              <w:marLeft w:val="0"/>
                                              <w:marRight w:val="0"/>
                                              <w:marTop w:val="90"/>
                                              <w:marBottom w:val="0"/>
                                              <w:divBdr>
                                                <w:top w:val="none" w:sz="0" w:space="0" w:color="auto"/>
                                                <w:left w:val="none" w:sz="0" w:space="0" w:color="auto"/>
                                                <w:bottom w:val="none" w:sz="0" w:space="0" w:color="auto"/>
                                                <w:right w:val="none" w:sz="0" w:space="0" w:color="auto"/>
                                              </w:divBdr>
                                              <w:divsChild>
                                                <w:div w:id="2126774330">
                                                  <w:marLeft w:val="0"/>
                                                  <w:marRight w:val="0"/>
                                                  <w:marTop w:val="0"/>
                                                  <w:marBottom w:val="0"/>
                                                  <w:divBdr>
                                                    <w:top w:val="none" w:sz="0" w:space="0" w:color="auto"/>
                                                    <w:left w:val="none" w:sz="0" w:space="0" w:color="auto"/>
                                                    <w:bottom w:val="none" w:sz="0" w:space="0" w:color="auto"/>
                                                    <w:right w:val="none" w:sz="0" w:space="0" w:color="auto"/>
                                                  </w:divBdr>
                                                  <w:divsChild>
                                                    <w:div w:id="1947080916">
                                                      <w:marLeft w:val="0"/>
                                                      <w:marRight w:val="0"/>
                                                      <w:marTop w:val="0"/>
                                                      <w:marBottom w:val="0"/>
                                                      <w:divBdr>
                                                        <w:top w:val="none" w:sz="0" w:space="0" w:color="auto"/>
                                                        <w:left w:val="none" w:sz="0" w:space="0" w:color="auto"/>
                                                        <w:bottom w:val="none" w:sz="0" w:space="0" w:color="auto"/>
                                                        <w:right w:val="none" w:sz="0" w:space="0" w:color="auto"/>
                                                      </w:divBdr>
                                                      <w:divsChild>
                                                        <w:div w:id="1363895770">
                                                          <w:marLeft w:val="0"/>
                                                          <w:marRight w:val="0"/>
                                                          <w:marTop w:val="0"/>
                                                          <w:marBottom w:val="0"/>
                                                          <w:divBdr>
                                                            <w:top w:val="none" w:sz="0" w:space="0" w:color="auto"/>
                                                            <w:left w:val="none" w:sz="0" w:space="0" w:color="auto"/>
                                                            <w:bottom w:val="none" w:sz="0" w:space="0" w:color="auto"/>
                                                            <w:right w:val="none" w:sz="0" w:space="0" w:color="auto"/>
                                                          </w:divBdr>
                                                          <w:divsChild>
                                                            <w:div w:id="1506171702">
                                                              <w:marLeft w:val="0"/>
                                                              <w:marRight w:val="0"/>
                                                              <w:marTop w:val="0"/>
                                                              <w:marBottom w:val="390"/>
                                                              <w:divBdr>
                                                                <w:top w:val="none" w:sz="0" w:space="0" w:color="auto"/>
                                                                <w:left w:val="none" w:sz="0" w:space="0" w:color="auto"/>
                                                                <w:bottom w:val="none" w:sz="0" w:space="0" w:color="auto"/>
                                                                <w:right w:val="none" w:sz="0" w:space="0" w:color="auto"/>
                                                              </w:divBdr>
                                                              <w:divsChild>
                                                                <w:div w:id="2091388247">
                                                                  <w:marLeft w:val="0"/>
                                                                  <w:marRight w:val="0"/>
                                                                  <w:marTop w:val="0"/>
                                                                  <w:marBottom w:val="0"/>
                                                                  <w:divBdr>
                                                                    <w:top w:val="none" w:sz="0" w:space="0" w:color="auto"/>
                                                                    <w:left w:val="none" w:sz="0" w:space="0" w:color="auto"/>
                                                                    <w:bottom w:val="none" w:sz="0" w:space="0" w:color="auto"/>
                                                                    <w:right w:val="none" w:sz="0" w:space="0" w:color="auto"/>
                                                                  </w:divBdr>
                                                                  <w:divsChild>
                                                                    <w:div w:id="37317976">
                                                                      <w:marLeft w:val="0"/>
                                                                      <w:marRight w:val="0"/>
                                                                      <w:marTop w:val="0"/>
                                                                      <w:marBottom w:val="0"/>
                                                                      <w:divBdr>
                                                                        <w:top w:val="none" w:sz="0" w:space="0" w:color="auto"/>
                                                                        <w:left w:val="none" w:sz="0" w:space="0" w:color="auto"/>
                                                                        <w:bottom w:val="none" w:sz="0" w:space="0" w:color="auto"/>
                                                                        <w:right w:val="none" w:sz="0" w:space="0" w:color="auto"/>
                                                                      </w:divBdr>
                                                                      <w:divsChild>
                                                                        <w:div w:id="311523183">
                                                                          <w:marLeft w:val="0"/>
                                                                          <w:marRight w:val="0"/>
                                                                          <w:marTop w:val="0"/>
                                                                          <w:marBottom w:val="0"/>
                                                                          <w:divBdr>
                                                                            <w:top w:val="none" w:sz="0" w:space="0" w:color="auto"/>
                                                                            <w:left w:val="none" w:sz="0" w:space="0" w:color="auto"/>
                                                                            <w:bottom w:val="none" w:sz="0" w:space="0" w:color="auto"/>
                                                                            <w:right w:val="none" w:sz="0" w:space="0" w:color="auto"/>
                                                                          </w:divBdr>
                                                                          <w:divsChild>
                                                                            <w:div w:id="36854817">
                                                                              <w:marLeft w:val="0"/>
                                                                              <w:marRight w:val="0"/>
                                                                              <w:marTop w:val="0"/>
                                                                              <w:marBottom w:val="0"/>
                                                                              <w:divBdr>
                                                                                <w:top w:val="none" w:sz="0" w:space="0" w:color="auto"/>
                                                                                <w:left w:val="none" w:sz="0" w:space="0" w:color="auto"/>
                                                                                <w:bottom w:val="none" w:sz="0" w:space="0" w:color="auto"/>
                                                                                <w:right w:val="none" w:sz="0" w:space="0" w:color="auto"/>
                                                                              </w:divBdr>
                                                                              <w:divsChild>
                                                                                <w:div w:id="1936859148">
                                                                                  <w:marLeft w:val="0"/>
                                                                                  <w:marRight w:val="0"/>
                                                                                  <w:marTop w:val="0"/>
                                                                                  <w:marBottom w:val="0"/>
                                                                                  <w:divBdr>
                                                                                    <w:top w:val="none" w:sz="0" w:space="0" w:color="auto"/>
                                                                                    <w:left w:val="none" w:sz="0" w:space="0" w:color="auto"/>
                                                                                    <w:bottom w:val="none" w:sz="0" w:space="0" w:color="auto"/>
                                                                                    <w:right w:val="none" w:sz="0" w:space="0" w:color="auto"/>
                                                                                  </w:divBdr>
                                                                                  <w:divsChild>
                                                                                    <w:div w:id="2066903835">
                                                                                      <w:marLeft w:val="0"/>
                                                                                      <w:marRight w:val="0"/>
                                                                                      <w:marTop w:val="0"/>
                                                                                      <w:marBottom w:val="0"/>
                                                                                      <w:divBdr>
                                                                                        <w:top w:val="none" w:sz="0" w:space="0" w:color="auto"/>
                                                                                        <w:left w:val="none" w:sz="0" w:space="0" w:color="auto"/>
                                                                                        <w:bottom w:val="none" w:sz="0" w:space="0" w:color="auto"/>
                                                                                        <w:right w:val="none" w:sz="0" w:space="0" w:color="auto"/>
                                                                                      </w:divBdr>
                                                                                      <w:divsChild>
                                                                                        <w:div w:id="8846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404193">
      <w:bodyDiv w:val="1"/>
      <w:marLeft w:val="0"/>
      <w:marRight w:val="0"/>
      <w:marTop w:val="0"/>
      <w:marBottom w:val="0"/>
      <w:divBdr>
        <w:top w:val="none" w:sz="0" w:space="0" w:color="auto"/>
        <w:left w:val="none" w:sz="0" w:space="0" w:color="auto"/>
        <w:bottom w:val="none" w:sz="0" w:space="0" w:color="auto"/>
        <w:right w:val="none" w:sz="0" w:space="0" w:color="auto"/>
      </w:divBdr>
      <w:divsChild>
        <w:div w:id="1746488790">
          <w:marLeft w:val="0"/>
          <w:marRight w:val="0"/>
          <w:marTop w:val="0"/>
          <w:marBottom w:val="0"/>
          <w:divBdr>
            <w:top w:val="none" w:sz="0" w:space="0" w:color="auto"/>
            <w:left w:val="none" w:sz="0" w:space="0" w:color="auto"/>
            <w:bottom w:val="none" w:sz="0" w:space="0" w:color="auto"/>
            <w:right w:val="none" w:sz="0" w:space="0" w:color="auto"/>
          </w:divBdr>
          <w:divsChild>
            <w:div w:id="227230787">
              <w:marLeft w:val="0"/>
              <w:marRight w:val="0"/>
              <w:marTop w:val="0"/>
              <w:marBottom w:val="0"/>
              <w:divBdr>
                <w:top w:val="none" w:sz="0" w:space="0" w:color="auto"/>
                <w:left w:val="none" w:sz="0" w:space="0" w:color="auto"/>
                <w:bottom w:val="none" w:sz="0" w:space="0" w:color="auto"/>
                <w:right w:val="none" w:sz="0" w:space="0" w:color="auto"/>
              </w:divBdr>
              <w:divsChild>
                <w:div w:id="12249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0240">
      <w:bodyDiv w:val="1"/>
      <w:marLeft w:val="0"/>
      <w:marRight w:val="0"/>
      <w:marTop w:val="0"/>
      <w:marBottom w:val="0"/>
      <w:divBdr>
        <w:top w:val="none" w:sz="0" w:space="0" w:color="auto"/>
        <w:left w:val="none" w:sz="0" w:space="0" w:color="auto"/>
        <w:bottom w:val="none" w:sz="0" w:space="0" w:color="auto"/>
        <w:right w:val="none" w:sz="0" w:space="0" w:color="auto"/>
      </w:divBdr>
      <w:divsChild>
        <w:div w:id="502283977">
          <w:marLeft w:val="0"/>
          <w:marRight w:val="0"/>
          <w:marTop w:val="0"/>
          <w:marBottom w:val="0"/>
          <w:divBdr>
            <w:top w:val="none" w:sz="0" w:space="0" w:color="auto"/>
            <w:left w:val="none" w:sz="0" w:space="0" w:color="auto"/>
            <w:bottom w:val="none" w:sz="0" w:space="0" w:color="auto"/>
            <w:right w:val="none" w:sz="0" w:space="0" w:color="auto"/>
          </w:divBdr>
          <w:divsChild>
            <w:div w:id="1592005978">
              <w:marLeft w:val="0"/>
              <w:marRight w:val="0"/>
              <w:marTop w:val="0"/>
              <w:marBottom w:val="0"/>
              <w:divBdr>
                <w:top w:val="none" w:sz="0" w:space="0" w:color="auto"/>
                <w:left w:val="none" w:sz="0" w:space="0" w:color="auto"/>
                <w:bottom w:val="none" w:sz="0" w:space="0" w:color="auto"/>
                <w:right w:val="none" w:sz="0" w:space="0" w:color="auto"/>
              </w:divBdr>
              <w:divsChild>
                <w:div w:id="1373073228">
                  <w:marLeft w:val="0"/>
                  <w:marRight w:val="0"/>
                  <w:marTop w:val="0"/>
                  <w:marBottom w:val="0"/>
                  <w:divBdr>
                    <w:top w:val="none" w:sz="0" w:space="0" w:color="auto"/>
                    <w:left w:val="none" w:sz="0" w:space="0" w:color="auto"/>
                    <w:bottom w:val="none" w:sz="0" w:space="0" w:color="auto"/>
                    <w:right w:val="none" w:sz="0" w:space="0" w:color="auto"/>
                  </w:divBdr>
                  <w:divsChild>
                    <w:div w:id="7028015">
                      <w:marLeft w:val="0"/>
                      <w:marRight w:val="0"/>
                      <w:marTop w:val="45"/>
                      <w:marBottom w:val="0"/>
                      <w:divBdr>
                        <w:top w:val="none" w:sz="0" w:space="0" w:color="auto"/>
                        <w:left w:val="none" w:sz="0" w:space="0" w:color="auto"/>
                        <w:bottom w:val="none" w:sz="0" w:space="0" w:color="auto"/>
                        <w:right w:val="none" w:sz="0" w:space="0" w:color="auto"/>
                      </w:divBdr>
                      <w:divsChild>
                        <w:div w:id="750615487">
                          <w:marLeft w:val="0"/>
                          <w:marRight w:val="0"/>
                          <w:marTop w:val="0"/>
                          <w:marBottom w:val="0"/>
                          <w:divBdr>
                            <w:top w:val="none" w:sz="0" w:space="0" w:color="auto"/>
                            <w:left w:val="none" w:sz="0" w:space="0" w:color="auto"/>
                            <w:bottom w:val="none" w:sz="0" w:space="0" w:color="auto"/>
                            <w:right w:val="none" w:sz="0" w:space="0" w:color="auto"/>
                          </w:divBdr>
                          <w:divsChild>
                            <w:div w:id="142235495">
                              <w:marLeft w:val="2070"/>
                              <w:marRight w:val="3960"/>
                              <w:marTop w:val="0"/>
                              <w:marBottom w:val="0"/>
                              <w:divBdr>
                                <w:top w:val="none" w:sz="0" w:space="0" w:color="auto"/>
                                <w:left w:val="none" w:sz="0" w:space="0" w:color="auto"/>
                                <w:bottom w:val="none" w:sz="0" w:space="0" w:color="auto"/>
                                <w:right w:val="none" w:sz="0" w:space="0" w:color="auto"/>
                              </w:divBdr>
                              <w:divsChild>
                                <w:div w:id="195311737">
                                  <w:marLeft w:val="0"/>
                                  <w:marRight w:val="0"/>
                                  <w:marTop w:val="0"/>
                                  <w:marBottom w:val="0"/>
                                  <w:divBdr>
                                    <w:top w:val="none" w:sz="0" w:space="0" w:color="auto"/>
                                    <w:left w:val="none" w:sz="0" w:space="0" w:color="auto"/>
                                    <w:bottom w:val="none" w:sz="0" w:space="0" w:color="auto"/>
                                    <w:right w:val="none" w:sz="0" w:space="0" w:color="auto"/>
                                  </w:divBdr>
                                  <w:divsChild>
                                    <w:div w:id="1246264172">
                                      <w:marLeft w:val="0"/>
                                      <w:marRight w:val="0"/>
                                      <w:marTop w:val="0"/>
                                      <w:marBottom w:val="0"/>
                                      <w:divBdr>
                                        <w:top w:val="none" w:sz="0" w:space="0" w:color="auto"/>
                                        <w:left w:val="none" w:sz="0" w:space="0" w:color="auto"/>
                                        <w:bottom w:val="none" w:sz="0" w:space="0" w:color="auto"/>
                                        <w:right w:val="none" w:sz="0" w:space="0" w:color="auto"/>
                                      </w:divBdr>
                                      <w:divsChild>
                                        <w:div w:id="1272200465">
                                          <w:marLeft w:val="0"/>
                                          <w:marRight w:val="0"/>
                                          <w:marTop w:val="0"/>
                                          <w:marBottom w:val="0"/>
                                          <w:divBdr>
                                            <w:top w:val="none" w:sz="0" w:space="0" w:color="auto"/>
                                            <w:left w:val="none" w:sz="0" w:space="0" w:color="auto"/>
                                            <w:bottom w:val="none" w:sz="0" w:space="0" w:color="auto"/>
                                            <w:right w:val="none" w:sz="0" w:space="0" w:color="auto"/>
                                          </w:divBdr>
                                          <w:divsChild>
                                            <w:div w:id="531502664">
                                              <w:marLeft w:val="0"/>
                                              <w:marRight w:val="0"/>
                                              <w:marTop w:val="90"/>
                                              <w:marBottom w:val="0"/>
                                              <w:divBdr>
                                                <w:top w:val="none" w:sz="0" w:space="0" w:color="auto"/>
                                                <w:left w:val="none" w:sz="0" w:space="0" w:color="auto"/>
                                                <w:bottom w:val="none" w:sz="0" w:space="0" w:color="auto"/>
                                                <w:right w:val="none" w:sz="0" w:space="0" w:color="auto"/>
                                              </w:divBdr>
                                              <w:divsChild>
                                                <w:div w:id="1974211383">
                                                  <w:marLeft w:val="0"/>
                                                  <w:marRight w:val="0"/>
                                                  <w:marTop w:val="0"/>
                                                  <w:marBottom w:val="0"/>
                                                  <w:divBdr>
                                                    <w:top w:val="none" w:sz="0" w:space="0" w:color="auto"/>
                                                    <w:left w:val="none" w:sz="0" w:space="0" w:color="auto"/>
                                                    <w:bottom w:val="none" w:sz="0" w:space="0" w:color="auto"/>
                                                    <w:right w:val="none" w:sz="0" w:space="0" w:color="auto"/>
                                                  </w:divBdr>
                                                  <w:divsChild>
                                                    <w:div w:id="677999801">
                                                      <w:marLeft w:val="0"/>
                                                      <w:marRight w:val="0"/>
                                                      <w:marTop w:val="0"/>
                                                      <w:marBottom w:val="0"/>
                                                      <w:divBdr>
                                                        <w:top w:val="none" w:sz="0" w:space="0" w:color="auto"/>
                                                        <w:left w:val="none" w:sz="0" w:space="0" w:color="auto"/>
                                                        <w:bottom w:val="none" w:sz="0" w:space="0" w:color="auto"/>
                                                        <w:right w:val="none" w:sz="0" w:space="0" w:color="auto"/>
                                                      </w:divBdr>
                                                      <w:divsChild>
                                                        <w:div w:id="1376126717">
                                                          <w:marLeft w:val="0"/>
                                                          <w:marRight w:val="0"/>
                                                          <w:marTop w:val="0"/>
                                                          <w:marBottom w:val="0"/>
                                                          <w:divBdr>
                                                            <w:top w:val="none" w:sz="0" w:space="0" w:color="auto"/>
                                                            <w:left w:val="none" w:sz="0" w:space="0" w:color="auto"/>
                                                            <w:bottom w:val="none" w:sz="0" w:space="0" w:color="auto"/>
                                                            <w:right w:val="none" w:sz="0" w:space="0" w:color="auto"/>
                                                          </w:divBdr>
                                                          <w:divsChild>
                                                            <w:div w:id="739252077">
                                                              <w:marLeft w:val="0"/>
                                                              <w:marRight w:val="0"/>
                                                              <w:marTop w:val="0"/>
                                                              <w:marBottom w:val="390"/>
                                                              <w:divBdr>
                                                                <w:top w:val="none" w:sz="0" w:space="0" w:color="auto"/>
                                                                <w:left w:val="none" w:sz="0" w:space="0" w:color="auto"/>
                                                                <w:bottom w:val="none" w:sz="0" w:space="0" w:color="auto"/>
                                                                <w:right w:val="none" w:sz="0" w:space="0" w:color="auto"/>
                                                              </w:divBdr>
                                                              <w:divsChild>
                                                                <w:div w:id="1024742914">
                                                                  <w:marLeft w:val="0"/>
                                                                  <w:marRight w:val="0"/>
                                                                  <w:marTop w:val="0"/>
                                                                  <w:marBottom w:val="0"/>
                                                                  <w:divBdr>
                                                                    <w:top w:val="none" w:sz="0" w:space="0" w:color="auto"/>
                                                                    <w:left w:val="none" w:sz="0" w:space="0" w:color="auto"/>
                                                                    <w:bottom w:val="none" w:sz="0" w:space="0" w:color="auto"/>
                                                                    <w:right w:val="none" w:sz="0" w:space="0" w:color="auto"/>
                                                                  </w:divBdr>
                                                                  <w:divsChild>
                                                                    <w:div w:id="782187049">
                                                                      <w:marLeft w:val="0"/>
                                                                      <w:marRight w:val="0"/>
                                                                      <w:marTop w:val="0"/>
                                                                      <w:marBottom w:val="0"/>
                                                                      <w:divBdr>
                                                                        <w:top w:val="none" w:sz="0" w:space="0" w:color="auto"/>
                                                                        <w:left w:val="none" w:sz="0" w:space="0" w:color="auto"/>
                                                                        <w:bottom w:val="none" w:sz="0" w:space="0" w:color="auto"/>
                                                                        <w:right w:val="none" w:sz="0" w:space="0" w:color="auto"/>
                                                                      </w:divBdr>
                                                                      <w:divsChild>
                                                                        <w:div w:id="2056158258">
                                                                          <w:marLeft w:val="0"/>
                                                                          <w:marRight w:val="0"/>
                                                                          <w:marTop w:val="0"/>
                                                                          <w:marBottom w:val="0"/>
                                                                          <w:divBdr>
                                                                            <w:top w:val="none" w:sz="0" w:space="0" w:color="auto"/>
                                                                            <w:left w:val="none" w:sz="0" w:space="0" w:color="auto"/>
                                                                            <w:bottom w:val="none" w:sz="0" w:space="0" w:color="auto"/>
                                                                            <w:right w:val="none" w:sz="0" w:space="0" w:color="auto"/>
                                                                          </w:divBdr>
                                                                          <w:divsChild>
                                                                            <w:div w:id="1203521567">
                                                                              <w:marLeft w:val="0"/>
                                                                              <w:marRight w:val="0"/>
                                                                              <w:marTop w:val="0"/>
                                                                              <w:marBottom w:val="0"/>
                                                                              <w:divBdr>
                                                                                <w:top w:val="none" w:sz="0" w:space="0" w:color="auto"/>
                                                                                <w:left w:val="none" w:sz="0" w:space="0" w:color="auto"/>
                                                                                <w:bottom w:val="none" w:sz="0" w:space="0" w:color="auto"/>
                                                                                <w:right w:val="none" w:sz="0" w:space="0" w:color="auto"/>
                                                                              </w:divBdr>
                                                                              <w:divsChild>
                                                                                <w:div w:id="2138260987">
                                                                                  <w:marLeft w:val="0"/>
                                                                                  <w:marRight w:val="0"/>
                                                                                  <w:marTop w:val="0"/>
                                                                                  <w:marBottom w:val="0"/>
                                                                                  <w:divBdr>
                                                                                    <w:top w:val="none" w:sz="0" w:space="0" w:color="auto"/>
                                                                                    <w:left w:val="none" w:sz="0" w:space="0" w:color="auto"/>
                                                                                    <w:bottom w:val="none" w:sz="0" w:space="0" w:color="auto"/>
                                                                                    <w:right w:val="none" w:sz="0" w:space="0" w:color="auto"/>
                                                                                  </w:divBdr>
                                                                                  <w:divsChild>
                                                                                    <w:div w:id="1358653651">
                                                                                      <w:marLeft w:val="0"/>
                                                                                      <w:marRight w:val="0"/>
                                                                                      <w:marTop w:val="0"/>
                                                                                      <w:marBottom w:val="0"/>
                                                                                      <w:divBdr>
                                                                                        <w:top w:val="none" w:sz="0" w:space="0" w:color="auto"/>
                                                                                        <w:left w:val="none" w:sz="0" w:space="0" w:color="auto"/>
                                                                                        <w:bottom w:val="none" w:sz="0" w:space="0" w:color="auto"/>
                                                                                        <w:right w:val="none" w:sz="0" w:space="0" w:color="auto"/>
                                                                                      </w:divBdr>
                                                                                      <w:divsChild>
                                                                                        <w:div w:id="1647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175417">
      <w:bodyDiv w:val="1"/>
      <w:marLeft w:val="0"/>
      <w:marRight w:val="0"/>
      <w:marTop w:val="30"/>
      <w:marBottom w:val="750"/>
      <w:divBdr>
        <w:top w:val="none" w:sz="0" w:space="0" w:color="auto"/>
        <w:left w:val="none" w:sz="0" w:space="0" w:color="auto"/>
        <w:bottom w:val="none" w:sz="0" w:space="0" w:color="auto"/>
        <w:right w:val="none" w:sz="0" w:space="0" w:color="auto"/>
      </w:divBdr>
      <w:divsChild>
        <w:div w:id="1172112515">
          <w:marLeft w:val="0"/>
          <w:marRight w:val="0"/>
          <w:marTop w:val="0"/>
          <w:marBottom w:val="0"/>
          <w:divBdr>
            <w:top w:val="none" w:sz="0" w:space="0" w:color="auto"/>
            <w:left w:val="none" w:sz="0" w:space="0" w:color="auto"/>
            <w:bottom w:val="none" w:sz="0" w:space="0" w:color="auto"/>
            <w:right w:val="none" w:sz="0" w:space="0" w:color="auto"/>
          </w:divBdr>
        </w:div>
      </w:divsChild>
    </w:div>
    <w:div w:id="2019845679">
      <w:bodyDiv w:val="1"/>
      <w:marLeft w:val="0"/>
      <w:marRight w:val="0"/>
      <w:marTop w:val="0"/>
      <w:marBottom w:val="0"/>
      <w:divBdr>
        <w:top w:val="none" w:sz="0" w:space="0" w:color="auto"/>
        <w:left w:val="none" w:sz="0" w:space="0" w:color="auto"/>
        <w:bottom w:val="none" w:sz="0" w:space="0" w:color="auto"/>
        <w:right w:val="none" w:sz="0" w:space="0" w:color="auto"/>
      </w:divBdr>
      <w:divsChild>
        <w:div w:id="704906340">
          <w:marLeft w:val="0"/>
          <w:marRight w:val="0"/>
          <w:marTop w:val="0"/>
          <w:marBottom w:val="0"/>
          <w:divBdr>
            <w:top w:val="none" w:sz="0" w:space="0" w:color="auto"/>
            <w:left w:val="none" w:sz="0" w:space="0" w:color="auto"/>
            <w:bottom w:val="none" w:sz="0" w:space="0" w:color="auto"/>
            <w:right w:val="none" w:sz="0" w:space="0" w:color="auto"/>
          </w:divBdr>
          <w:divsChild>
            <w:div w:id="399062778">
              <w:marLeft w:val="0"/>
              <w:marRight w:val="0"/>
              <w:marTop w:val="0"/>
              <w:marBottom w:val="0"/>
              <w:divBdr>
                <w:top w:val="none" w:sz="0" w:space="0" w:color="auto"/>
                <w:left w:val="none" w:sz="0" w:space="0" w:color="auto"/>
                <w:bottom w:val="none" w:sz="0" w:space="0" w:color="auto"/>
                <w:right w:val="none" w:sz="0" w:space="0" w:color="auto"/>
              </w:divBdr>
              <w:divsChild>
                <w:div w:id="1673146505">
                  <w:marLeft w:val="0"/>
                  <w:marRight w:val="0"/>
                  <w:marTop w:val="0"/>
                  <w:marBottom w:val="0"/>
                  <w:divBdr>
                    <w:top w:val="none" w:sz="0" w:space="0" w:color="auto"/>
                    <w:left w:val="none" w:sz="0" w:space="0" w:color="auto"/>
                    <w:bottom w:val="none" w:sz="0" w:space="0" w:color="auto"/>
                    <w:right w:val="none" w:sz="0" w:space="0" w:color="auto"/>
                  </w:divBdr>
                  <w:divsChild>
                    <w:div w:id="2081949319">
                      <w:marLeft w:val="0"/>
                      <w:marRight w:val="0"/>
                      <w:marTop w:val="45"/>
                      <w:marBottom w:val="0"/>
                      <w:divBdr>
                        <w:top w:val="none" w:sz="0" w:space="0" w:color="auto"/>
                        <w:left w:val="none" w:sz="0" w:space="0" w:color="auto"/>
                        <w:bottom w:val="none" w:sz="0" w:space="0" w:color="auto"/>
                        <w:right w:val="none" w:sz="0" w:space="0" w:color="auto"/>
                      </w:divBdr>
                      <w:divsChild>
                        <w:div w:id="411464675">
                          <w:marLeft w:val="0"/>
                          <w:marRight w:val="0"/>
                          <w:marTop w:val="0"/>
                          <w:marBottom w:val="0"/>
                          <w:divBdr>
                            <w:top w:val="none" w:sz="0" w:space="0" w:color="auto"/>
                            <w:left w:val="none" w:sz="0" w:space="0" w:color="auto"/>
                            <w:bottom w:val="none" w:sz="0" w:space="0" w:color="auto"/>
                            <w:right w:val="none" w:sz="0" w:space="0" w:color="auto"/>
                          </w:divBdr>
                          <w:divsChild>
                            <w:div w:id="91824851">
                              <w:marLeft w:val="2070"/>
                              <w:marRight w:val="3960"/>
                              <w:marTop w:val="0"/>
                              <w:marBottom w:val="0"/>
                              <w:divBdr>
                                <w:top w:val="none" w:sz="0" w:space="0" w:color="auto"/>
                                <w:left w:val="none" w:sz="0" w:space="0" w:color="auto"/>
                                <w:bottom w:val="none" w:sz="0" w:space="0" w:color="auto"/>
                                <w:right w:val="none" w:sz="0" w:space="0" w:color="auto"/>
                              </w:divBdr>
                              <w:divsChild>
                                <w:div w:id="181166774">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sChild>
                                        <w:div w:id="192354154">
                                          <w:marLeft w:val="0"/>
                                          <w:marRight w:val="0"/>
                                          <w:marTop w:val="0"/>
                                          <w:marBottom w:val="0"/>
                                          <w:divBdr>
                                            <w:top w:val="none" w:sz="0" w:space="0" w:color="auto"/>
                                            <w:left w:val="none" w:sz="0" w:space="0" w:color="auto"/>
                                            <w:bottom w:val="none" w:sz="0" w:space="0" w:color="auto"/>
                                            <w:right w:val="none" w:sz="0" w:space="0" w:color="auto"/>
                                          </w:divBdr>
                                          <w:divsChild>
                                            <w:div w:id="1413549874">
                                              <w:marLeft w:val="0"/>
                                              <w:marRight w:val="0"/>
                                              <w:marTop w:val="90"/>
                                              <w:marBottom w:val="0"/>
                                              <w:divBdr>
                                                <w:top w:val="none" w:sz="0" w:space="0" w:color="auto"/>
                                                <w:left w:val="none" w:sz="0" w:space="0" w:color="auto"/>
                                                <w:bottom w:val="none" w:sz="0" w:space="0" w:color="auto"/>
                                                <w:right w:val="none" w:sz="0" w:space="0" w:color="auto"/>
                                              </w:divBdr>
                                              <w:divsChild>
                                                <w:div w:id="366563883">
                                                  <w:marLeft w:val="0"/>
                                                  <w:marRight w:val="0"/>
                                                  <w:marTop w:val="0"/>
                                                  <w:marBottom w:val="0"/>
                                                  <w:divBdr>
                                                    <w:top w:val="none" w:sz="0" w:space="0" w:color="auto"/>
                                                    <w:left w:val="none" w:sz="0" w:space="0" w:color="auto"/>
                                                    <w:bottom w:val="none" w:sz="0" w:space="0" w:color="auto"/>
                                                    <w:right w:val="none" w:sz="0" w:space="0" w:color="auto"/>
                                                  </w:divBdr>
                                                  <w:divsChild>
                                                    <w:div w:id="1151294861">
                                                      <w:marLeft w:val="0"/>
                                                      <w:marRight w:val="0"/>
                                                      <w:marTop w:val="0"/>
                                                      <w:marBottom w:val="0"/>
                                                      <w:divBdr>
                                                        <w:top w:val="none" w:sz="0" w:space="0" w:color="auto"/>
                                                        <w:left w:val="none" w:sz="0" w:space="0" w:color="auto"/>
                                                        <w:bottom w:val="none" w:sz="0" w:space="0" w:color="auto"/>
                                                        <w:right w:val="none" w:sz="0" w:space="0" w:color="auto"/>
                                                      </w:divBdr>
                                                      <w:divsChild>
                                                        <w:div w:id="855659814">
                                                          <w:marLeft w:val="0"/>
                                                          <w:marRight w:val="0"/>
                                                          <w:marTop w:val="0"/>
                                                          <w:marBottom w:val="0"/>
                                                          <w:divBdr>
                                                            <w:top w:val="none" w:sz="0" w:space="0" w:color="auto"/>
                                                            <w:left w:val="none" w:sz="0" w:space="0" w:color="auto"/>
                                                            <w:bottom w:val="none" w:sz="0" w:space="0" w:color="auto"/>
                                                            <w:right w:val="none" w:sz="0" w:space="0" w:color="auto"/>
                                                          </w:divBdr>
                                                          <w:divsChild>
                                                            <w:div w:id="824708462">
                                                              <w:marLeft w:val="0"/>
                                                              <w:marRight w:val="0"/>
                                                              <w:marTop w:val="0"/>
                                                              <w:marBottom w:val="390"/>
                                                              <w:divBdr>
                                                                <w:top w:val="none" w:sz="0" w:space="0" w:color="auto"/>
                                                                <w:left w:val="none" w:sz="0" w:space="0" w:color="auto"/>
                                                                <w:bottom w:val="none" w:sz="0" w:space="0" w:color="auto"/>
                                                                <w:right w:val="none" w:sz="0" w:space="0" w:color="auto"/>
                                                              </w:divBdr>
                                                              <w:divsChild>
                                                                <w:div w:id="718213776">
                                                                  <w:marLeft w:val="0"/>
                                                                  <w:marRight w:val="0"/>
                                                                  <w:marTop w:val="0"/>
                                                                  <w:marBottom w:val="0"/>
                                                                  <w:divBdr>
                                                                    <w:top w:val="none" w:sz="0" w:space="0" w:color="auto"/>
                                                                    <w:left w:val="none" w:sz="0" w:space="0" w:color="auto"/>
                                                                    <w:bottom w:val="none" w:sz="0" w:space="0" w:color="auto"/>
                                                                    <w:right w:val="none" w:sz="0" w:space="0" w:color="auto"/>
                                                                  </w:divBdr>
                                                                  <w:divsChild>
                                                                    <w:div w:id="47385775">
                                                                      <w:marLeft w:val="0"/>
                                                                      <w:marRight w:val="0"/>
                                                                      <w:marTop w:val="0"/>
                                                                      <w:marBottom w:val="0"/>
                                                                      <w:divBdr>
                                                                        <w:top w:val="none" w:sz="0" w:space="0" w:color="auto"/>
                                                                        <w:left w:val="none" w:sz="0" w:space="0" w:color="auto"/>
                                                                        <w:bottom w:val="none" w:sz="0" w:space="0" w:color="auto"/>
                                                                        <w:right w:val="none" w:sz="0" w:space="0" w:color="auto"/>
                                                                      </w:divBdr>
                                                                      <w:divsChild>
                                                                        <w:div w:id="1867521476">
                                                                          <w:marLeft w:val="0"/>
                                                                          <w:marRight w:val="0"/>
                                                                          <w:marTop w:val="0"/>
                                                                          <w:marBottom w:val="0"/>
                                                                          <w:divBdr>
                                                                            <w:top w:val="none" w:sz="0" w:space="0" w:color="auto"/>
                                                                            <w:left w:val="none" w:sz="0" w:space="0" w:color="auto"/>
                                                                            <w:bottom w:val="none" w:sz="0" w:space="0" w:color="auto"/>
                                                                            <w:right w:val="none" w:sz="0" w:space="0" w:color="auto"/>
                                                                          </w:divBdr>
                                                                          <w:divsChild>
                                                                            <w:div w:id="1254317169">
                                                                              <w:marLeft w:val="0"/>
                                                                              <w:marRight w:val="0"/>
                                                                              <w:marTop w:val="0"/>
                                                                              <w:marBottom w:val="0"/>
                                                                              <w:divBdr>
                                                                                <w:top w:val="none" w:sz="0" w:space="0" w:color="auto"/>
                                                                                <w:left w:val="none" w:sz="0" w:space="0" w:color="auto"/>
                                                                                <w:bottom w:val="none" w:sz="0" w:space="0" w:color="auto"/>
                                                                                <w:right w:val="none" w:sz="0" w:space="0" w:color="auto"/>
                                                                              </w:divBdr>
                                                                              <w:divsChild>
                                                                                <w:div w:id="5804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estlaw.com/Find/Default.wl?rs=dfa1.0&amp;vr=2.0&amp;DB=506&amp;FindType=Y&amp;SerialNum=1997103657" TargetMode="External"/><Relationship Id="rId1" Type="http://schemas.openxmlformats.org/officeDocument/2006/relationships/hyperlink" Target="http://www.westlaw.com/Find/Default.wl?rs=dfa1.0&amp;vr=2.0&amp;DB=506&amp;FindType=Y&amp;SerialNum=1997103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mp;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78818-117E-4167-BC1C-3BE64742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3682</Words>
  <Characters>20990</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Holland &amp; Hart LLP.</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N_Kolb</dc:creator>
  <cp:lastModifiedBy>Waverly G. Weeks</cp:lastModifiedBy>
  <cp:revision>2</cp:revision>
  <dcterms:created xsi:type="dcterms:W3CDTF">2018-10-19T17:15:00Z</dcterms:created>
  <dcterms:modified xsi:type="dcterms:W3CDTF">2018-10-19T17:15:00Z</dcterms:modified>
</cp:coreProperties>
</file>